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6ED" w:rsidRDefault="006526ED" w:rsidP="009F40EE">
      <w:pPr>
        <w:jc w:val="center"/>
      </w:pPr>
      <w:bookmarkStart w:id="0" w:name="_GoBack"/>
      <w:bookmarkEnd w:id="0"/>
    </w:p>
    <w:p w:rsidR="00BA089C" w:rsidRDefault="00BA089C" w:rsidP="009F40EE">
      <w:pPr>
        <w:jc w:val="center"/>
      </w:pPr>
    </w:p>
    <w:p w:rsidR="00BA089C" w:rsidRDefault="00BA089C" w:rsidP="009F40EE">
      <w:pPr>
        <w:jc w:val="center"/>
      </w:pPr>
    </w:p>
    <w:p w:rsidR="00BA089C" w:rsidRDefault="00BA089C" w:rsidP="009F40EE">
      <w:pPr>
        <w:jc w:val="center"/>
      </w:pPr>
    </w:p>
    <w:p w:rsidR="00BA089C" w:rsidRDefault="00BA089C" w:rsidP="009F40EE">
      <w:pPr>
        <w:jc w:val="center"/>
      </w:pPr>
    </w:p>
    <w:p w:rsidR="00BA089C" w:rsidRPr="00650B00" w:rsidRDefault="00BA089C" w:rsidP="009F40EE">
      <w:pPr>
        <w:jc w:val="center"/>
        <w:rPr>
          <w:rFonts w:ascii="Arial" w:hAnsi="Arial" w:cs="Arial"/>
          <w:b/>
          <w:sz w:val="36"/>
          <w:szCs w:val="36"/>
        </w:rPr>
      </w:pPr>
      <w:r w:rsidRPr="00650B00">
        <w:rPr>
          <w:rFonts w:ascii="Arial" w:hAnsi="Arial" w:cs="Arial"/>
          <w:b/>
          <w:sz w:val="36"/>
          <w:szCs w:val="36"/>
        </w:rPr>
        <w:t xml:space="preserve">LONDON </w:t>
      </w:r>
      <w:r w:rsidR="003C44E3">
        <w:rPr>
          <w:rFonts w:ascii="Arial" w:hAnsi="Arial" w:cs="Arial"/>
          <w:b/>
          <w:sz w:val="36"/>
          <w:szCs w:val="36"/>
        </w:rPr>
        <w:t xml:space="preserve">BOROUGH OF </w:t>
      </w:r>
      <w:r w:rsidR="006C5FB7">
        <w:rPr>
          <w:rFonts w:ascii="Arial" w:hAnsi="Arial" w:cs="Arial"/>
          <w:b/>
          <w:sz w:val="36"/>
          <w:szCs w:val="36"/>
        </w:rPr>
        <w:t>HARROW</w:t>
      </w:r>
    </w:p>
    <w:p w:rsidR="00BA089C" w:rsidRPr="00650B00" w:rsidRDefault="00BA089C" w:rsidP="009F40EE">
      <w:pPr>
        <w:jc w:val="center"/>
        <w:rPr>
          <w:rFonts w:ascii="Arial" w:hAnsi="Arial" w:cs="Arial"/>
          <w:b/>
          <w:sz w:val="36"/>
          <w:szCs w:val="36"/>
        </w:rPr>
      </w:pPr>
    </w:p>
    <w:p w:rsidR="00BA089C" w:rsidRPr="00650B00" w:rsidRDefault="00BA089C" w:rsidP="009F40EE">
      <w:pPr>
        <w:jc w:val="center"/>
        <w:rPr>
          <w:rFonts w:ascii="Arial" w:hAnsi="Arial" w:cs="Arial"/>
          <w:b/>
          <w:sz w:val="36"/>
          <w:szCs w:val="36"/>
        </w:rPr>
      </w:pPr>
      <w:r w:rsidRPr="00650B00">
        <w:rPr>
          <w:rFonts w:ascii="Arial" w:hAnsi="Arial" w:cs="Arial"/>
          <w:b/>
          <w:sz w:val="36"/>
          <w:szCs w:val="36"/>
        </w:rPr>
        <w:t>PEER REVIEW OF INTERNAL AUDIT AGAINST THE UK PUBLIC SECTOR INTERNAL AUDIT STANDARDS</w:t>
      </w:r>
    </w:p>
    <w:p w:rsidR="00BA089C" w:rsidRPr="00650B00" w:rsidRDefault="00BA089C" w:rsidP="009F40EE">
      <w:pPr>
        <w:jc w:val="center"/>
        <w:rPr>
          <w:rFonts w:ascii="Arial" w:hAnsi="Arial" w:cs="Arial"/>
          <w:b/>
          <w:sz w:val="36"/>
          <w:szCs w:val="36"/>
        </w:rPr>
      </w:pPr>
    </w:p>
    <w:p w:rsidR="00BA089C" w:rsidRPr="00650B00" w:rsidRDefault="00BA089C" w:rsidP="009F40EE">
      <w:pPr>
        <w:jc w:val="center"/>
        <w:rPr>
          <w:rFonts w:ascii="Arial" w:hAnsi="Arial" w:cs="Arial"/>
          <w:b/>
          <w:sz w:val="36"/>
          <w:szCs w:val="36"/>
        </w:rPr>
      </w:pPr>
    </w:p>
    <w:p w:rsidR="00BA089C" w:rsidRPr="00650B00" w:rsidRDefault="00BA089C" w:rsidP="009F40EE">
      <w:pPr>
        <w:jc w:val="center"/>
        <w:rPr>
          <w:rFonts w:ascii="Arial" w:hAnsi="Arial" w:cs="Arial"/>
          <w:b/>
          <w:sz w:val="28"/>
          <w:szCs w:val="28"/>
        </w:rPr>
      </w:pPr>
      <w:r w:rsidRPr="00650B00">
        <w:rPr>
          <w:rFonts w:ascii="Arial" w:hAnsi="Arial" w:cs="Arial"/>
          <w:b/>
          <w:sz w:val="28"/>
          <w:szCs w:val="28"/>
        </w:rPr>
        <w:t>CARRIED OUT BY</w:t>
      </w:r>
    </w:p>
    <w:p w:rsidR="00BA089C" w:rsidRPr="00650B00" w:rsidRDefault="006C5FB7" w:rsidP="009F40EE">
      <w:pPr>
        <w:jc w:val="center"/>
        <w:rPr>
          <w:rFonts w:ascii="Arial" w:hAnsi="Arial" w:cs="Arial"/>
          <w:b/>
          <w:sz w:val="28"/>
          <w:szCs w:val="28"/>
        </w:rPr>
      </w:pPr>
      <w:r>
        <w:rPr>
          <w:rFonts w:ascii="Arial" w:hAnsi="Arial" w:cs="Arial"/>
          <w:b/>
          <w:sz w:val="28"/>
          <w:szCs w:val="28"/>
        </w:rPr>
        <w:t>ALIX WILSON, HEAD OF THE SOUTH WEST LONDON AUDIT PARTNERSHIP</w:t>
      </w:r>
    </w:p>
    <w:p w:rsidR="00BA089C" w:rsidRPr="00650B00" w:rsidRDefault="00BA089C" w:rsidP="009F40EE">
      <w:pPr>
        <w:jc w:val="center"/>
        <w:rPr>
          <w:rFonts w:ascii="Arial" w:hAnsi="Arial" w:cs="Arial"/>
          <w:b/>
          <w:sz w:val="36"/>
          <w:szCs w:val="36"/>
        </w:rPr>
      </w:pPr>
    </w:p>
    <w:p w:rsidR="00BA089C" w:rsidRPr="00650B00" w:rsidRDefault="00BA089C" w:rsidP="009F40EE">
      <w:pPr>
        <w:jc w:val="center"/>
        <w:rPr>
          <w:rFonts w:ascii="Arial" w:hAnsi="Arial" w:cs="Arial"/>
          <w:b/>
          <w:sz w:val="36"/>
          <w:szCs w:val="36"/>
        </w:rPr>
      </w:pPr>
    </w:p>
    <w:p w:rsidR="00BA089C" w:rsidRPr="00650B00" w:rsidRDefault="00BA089C" w:rsidP="009F40EE">
      <w:pPr>
        <w:jc w:val="center"/>
        <w:rPr>
          <w:rFonts w:ascii="Arial" w:hAnsi="Arial" w:cs="Arial"/>
          <w:b/>
          <w:sz w:val="36"/>
          <w:szCs w:val="36"/>
        </w:rPr>
      </w:pPr>
    </w:p>
    <w:p w:rsidR="00BA089C" w:rsidRPr="00650B00" w:rsidRDefault="00BA089C" w:rsidP="009F40EE">
      <w:pPr>
        <w:jc w:val="center"/>
        <w:rPr>
          <w:rFonts w:ascii="Arial" w:hAnsi="Arial" w:cs="Arial"/>
          <w:b/>
          <w:sz w:val="36"/>
          <w:szCs w:val="36"/>
        </w:rPr>
      </w:pPr>
    </w:p>
    <w:p w:rsidR="00BA089C" w:rsidRPr="00650B00" w:rsidRDefault="00BA089C" w:rsidP="009F40EE">
      <w:pPr>
        <w:jc w:val="center"/>
        <w:rPr>
          <w:rFonts w:ascii="Arial" w:hAnsi="Arial" w:cs="Arial"/>
          <w:b/>
          <w:sz w:val="36"/>
          <w:szCs w:val="36"/>
        </w:rPr>
      </w:pPr>
    </w:p>
    <w:p w:rsidR="00BA089C" w:rsidRPr="00650B00" w:rsidRDefault="00BA089C" w:rsidP="009F40EE">
      <w:pPr>
        <w:jc w:val="center"/>
        <w:rPr>
          <w:rFonts w:ascii="Arial" w:hAnsi="Arial" w:cs="Arial"/>
          <w:b/>
          <w:sz w:val="36"/>
          <w:szCs w:val="36"/>
        </w:rPr>
      </w:pPr>
    </w:p>
    <w:p w:rsidR="00BA089C" w:rsidRPr="00650B00" w:rsidRDefault="00BA089C" w:rsidP="009F40EE">
      <w:pPr>
        <w:jc w:val="center"/>
        <w:rPr>
          <w:rFonts w:ascii="Arial" w:hAnsi="Arial" w:cs="Arial"/>
          <w:b/>
          <w:sz w:val="36"/>
          <w:szCs w:val="36"/>
        </w:rPr>
      </w:pPr>
    </w:p>
    <w:p w:rsidR="00BA089C" w:rsidRPr="00650B00" w:rsidRDefault="00BA089C" w:rsidP="009F40EE">
      <w:pPr>
        <w:jc w:val="center"/>
        <w:rPr>
          <w:rFonts w:ascii="Arial" w:hAnsi="Arial" w:cs="Arial"/>
          <w:b/>
          <w:sz w:val="36"/>
          <w:szCs w:val="36"/>
        </w:rPr>
      </w:pPr>
    </w:p>
    <w:p w:rsidR="00BA089C" w:rsidRDefault="00BA089C" w:rsidP="00BA089C">
      <w:pPr>
        <w:rPr>
          <w:rFonts w:ascii="Arial" w:hAnsi="Arial" w:cs="Arial"/>
          <w:b/>
          <w:sz w:val="28"/>
          <w:szCs w:val="28"/>
        </w:rPr>
      </w:pPr>
      <w:r w:rsidRPr="00650B00">
        <w:rPr>
          <w:rFonts w:ascii="Arial" w:hAnsi="Arial" w:cs="Arial"/>
          <w:b/>
          <w:sz w:val="28"/>
          <w:szCs w:val="28"/>
        </w:rPr>
        <w:t xml:space="preserve">REPORT </w:t>
      </w:r>
      <w:r w:rsidR="006C5FB7">
        <w:rPr>
          <w:rFonts w:ascii="Arial" w:hAnsi="Arial" w:cs="Arial"/>
          <w:b/>
          <w:sz w:val="28"/>
          <w:szCs w:val="28"/>
        </w:rPr>
        <w:t>JUNE 2017</w:t>
      </w:r>
    </w:p>
    <w:p w:rsidR="00FE0CA1" w:rsidRDefault="00FE0CA1" w:rsidP="00BA089C">
      <w:pPr>
        <w:rPr>
          <w:rFonts w:ascii="Arial" w:hAnsi="Arial" w:cs="Arial"/>
          <w:b/>
          <w:sz w:val="28"/>
          <w:szCs w:val="28"/>
        </w:rPr>
      </w:pPr>
    </w:p>
    <w:p w:rsidR="00FE0CA1" w:rsidRPr="00650B00" w:rsidRDefault="00FE0CA1" w:rsidP="00BA089C">
      <w:pPr>
        <w:rPr>
          <w:rFonts w:ascii="Arial" w:hAnsi="Arial" w:cs="Arial"/>
          <w:b/>
          <w:sz w:val="28"/>
          <w:szCs w:val="28"/>
        </w:rPr>
      </w:pPr>
    </w:p>
    <w:p w:rsidR="00BA089C" w:rsidRPr="00650B00" w:rsidRDefault="00BA089C" w:rsidP="00BA089C">
      <w:pPr>
        <w:rPr>
          <w:rFonts w:ascii="Arial" w:hAnsi="Arial" w:cs="Arial"/>
          <w:b/>
          <w:sz w:val="28"/>
          <w:szCs w:val="28"/>
        </w:rPr>
      </w:pPr>
    </w:p>
    <w:p w:rsidR="00BA089C" w:rsidRDefault="00BA089C" w:rsidP="00BA089C">
      <w:pPr>
        <w:rPr>
          <w:rFonts w:ascii="Arial" w:hAnsi="Arial" w:cs="Arial"/>
          <w:sz w:val="28"/>
          <w:szCs w:val="28"/>
        </w:rPr>
      </w:pPr>
    </w:p>
    <w:p w:rsidR="00BA089C" w:rsidRDefault="00BA089C" w:rsidP="00BA089C">
      <w:pPr>
        <w:rPr>
          <w:rFonts w:ascii="Arial" w:hAnsi="Arial" w:cs="Arial"/>
          <w:sz w:val="28"/>
          <w:szCs w:val="28"/>
        </w:rPr>
      </w:pPr>
    </w:p>
    <w:p w:rsidR="00BA089C" w:rsidRDefault="00BA089C" w:rsidP="00BA089C">
      <w:pPr>
        <w:rPr>
          <w:rFonts w:ascii="Arial" w:hAnsi="Arial" w:cs="Arial"/>
          <w:sz w:val="28"/>
          <w:szCs w:val="28"/>
        </w:rPr>
      </w:pPr>
    </w:p>
    <w:p w:rsidR="00BA089C" w:rsidRDefault="00BA089C" w:rsidP="00BA089C">
      <w:pPr>
        <w:rPr>
          <w:rFonts w:ascii="Arial" w:hAnsi="Arial" w:cs="Arial"/>
          <w:sz w:val="28"/>
          <w:szCs w:val="28"/>
        </w:rPr>
      </w:pPr>
    </w:p>
    <w:p w:rsidR="00BA089C" w:rsidRDefault="00BA089C" w:rsidP="00BA089C">
      <w:pPr>
        <w:rPr>
          <w:rFonts w:ascii="Arial" w:hAnsi="Arial" w:cs="Arial"/>
          <w:sz w:val="28"/>
          <w:szCs w:val="28"/>
        </w:rPr>
      </w:pPr>
    </w:p>
    <w:p w:rsidR="00BA089C" w:rsidRDefault="00BA089C" w:rsidP="00BA089C">
      <w:pPr>
        <w:rPr>
          <w:rFonts w:ascii="Arial" w:hAnsi="Arial" w:cs="Arial"/>
          <w:sz w:val="28"/>
          <w:szCs w:val="28"/>
        </w:rPr>
      </w:pPr>
    </w:p>
    <w:p w:rsidR="00BA089C" w:rsidRDefault="00BA089C" w:rsidP="00BA089C">
      <w:pPr>
        <w:rPr>
          <w:rFonts w:ascii="Arial" w:hAnsi="Arial" w:cs="Arial"/>
          <w:sz w:val="28"/>
          <w:szCs w:val="28"/>
        </w:rPr>
      </w:pPr>
    </w:p>
    <w:p w:rsidR="00BA089C" w:rsidRDefault="00BA089C" w:rsidP="00BA089C">
      <w:pPr>
        <w:rPr>
          <w:rFonts w:ascii="Arial" w:hAnsi="Arial" w:cs="Arial"/>
          <w:sz w:val="28"/>
          <w:szCs w:val="28"/>
        </w:rPr>
      </w:pPr>
    </w:p>
    <w:p w:rsidR="00BA089C" w:rsidRDefault="00BA089C" w:rsidP="00BA089C">
      <w:pPr>
        <w:rPr>
          <w:rFonts w:ascii="Arial" w:hAnsi="Arial" w:cs="Arial"/>
          <w:sz w:val="28"/>
          <w:szCs w:val="28"/>
        </w:rPr>
      </w:pPr>
    </w:p>
    <w:p w:rsidR="00BA089C" w:rsidRDefault="00BA089C" w:rsidP="00BA089C">
      <w:pPr>
        <w:rPr>
          <w:rFonts w:ascii="Arial" w:hAnsi="Arial" w:cs="Arial"/>
          <w:sz w:val="28"/>
          <w:szCs w:val="28"/>
        </w:rPr>
      </w:pPr>
    </w:p>
    <w:p w:rsidR="00BA089C" w:rsidRDefault="00BA089C" w:rsidP="00BA089C">
      <w:pPr>
        <w:rPr>
          <w:rFonts w:ascii="Arial" w:hAnsi="Arial" w:cs="Arial"/>
          <w:sz w:val="28"/>
          <w:szCs w:val="28"/>
        </w:rPr>
      </w:pPr>
    </w:p>
    <w:p w:rsidR="00BA089C" w:rsidRDefault="00BA089C">
      <w:pPr>
        <w:rPr>
          <w:rFonts w:ascii="Arial" w:hAnsi="Arial" w:cs="Arial"/>
          <w:sz w:val="28"/>
          <w:szCs w:val="28"/>
        </w:rPr>
      </w:pPr>
      <w:r>
        <w:rPr>
          <w:rFonts w:ascii="Arial" w:hAnsi="Arial" w:cs="Arial"/>
          <w:sz w:val="28"/>
          <w:szCs w:val="28"/>
        </w:rPr>
        <w:br w:type="page"/>
      </w:r>
    </w:p>
    <w:p w:rsidR="00BA089C" w:rsidRPr="00536727" w:rsidRDefault="00BA089C" w:rsidP="00BA089C">
      <w:pPr>
        <w:jc w:val="center"/>
        <w:rPr>
          <w:rFonts w:ascii="Arial" w:hAnsi="Arial" w:cs="Arial"/>
          <w:b/>
          <w:sz w:val="28"/>
          <w:szCs w:val="28"/>
        </w:rPr>
      </w:pPr>
      <w:r w:rsidRPr="00536727">
        <w:rPr>
          <w:rFonts w:ascii="Arial" w:hAnsi="Arial" w:cs="Arial"/>
          <w:b/>
          <w:sz w:val="28"/>
          <w:szCs w:val="28"/>
        </w:rPr>
        <w:lastRenderedPageBreak/>
        <w:t>London</w:t>
      </w:r>
      <w:r w:rsidR="003C44E3">
        <w:rPr>
          <w:rFonts w:ascii="Arial" w:hAnsi="Arial" w:cs="Arial"/>
          <w:b/>
          <w:sz w:val="28"/>
          <w:szCs w:val="28"/>
        </w:rPr>
        <w:t xml:space="preserve"> Borough of </w:t>
      </w:r>
      <w:r w:rsidR="006C5FB7">
        <w:rPr>
          <w:rFonts w:ascii="Arial" w:hAnsi="Arial" w:cs="Arial"/>
          <w:b/>
          <w:sz w:val="28"/>
          <w:szCs w:val="28"/>
        </w:rPr>
        <w:t>Harrow</w:t>
      </w:r>
    </w:p>
    <w:p w:rsidR="00BA089C" w:rsidRPr="00536727" w:rsidRDefault="00BA089C" w:rsidP="00BA089C">
      <w:pPr>
        <w:jc w:val="center"/>
        <w:rPr>
          <w:rFonts w:ascii="Arial" w:hAnsi="Arial" w:cs="Arial"/>
          <w:b/>
          <w:sz w:val="28"/>
          <w:szCs w:val="28"/>
        </w:rPr>
      </w:pPr>
      <w:r w:rsidRPr="00536727">
        <w:rPr>
          <w:rFonts w:ascii="Arial" w:hAnsi="Arial" w:cs="Arial"/>
          <w:b/>
          <w:sz w:val="28"/>
          <w:szCs w:val="28"/>
        </w:rPr>
        <w:t>Peer Review of Internal Audit against the UK Public Sector Internal Audit Standards</w:t>
      </w:r>
    </w:p>
    <w:p w:rsidR="00BA089C" w:rsidRPr="00536727" w:rsidRDefault="00BA089C" w:rsidP="00BA089C">
      <w:pPr>
        <w:rPr>
          <w:rFonts w:ascii="Arial" w:hAnsi="Arial" w:cs="Arial"/>
          <w:b/>
          <w:sz w:val="28"/>
          <w:szCs w:val="28"/>
        </w:rPr>
      </w:pPr>
    </w:p>
    <w:p w:rsidR="00BA089C" w:rsidRPr="00AD7985" w:rsidRDefault="00AD7985" w:rsidP="00BA089C">
      <w:pPr>
        <w:rPr>
          <w:rFonts w:ascii="Arial" w:hAnsi="Arial" w:cs="Arial"/>
          <w:b/>
        </w:rPr>
      </w:pPr>
      <w:r w:rsidRPr="00AD7985">
        <w:rPr>
          <w:rFonts w:ascii="Arial" w:hAnsi="Arial" w:cs="Arial"/>
          <w:b/>
        </w:rPr>
        <w:t>1</w:t>
      </w:r>
      <w:r w:rsidRPr="00AD7985">
        <w:rPr>
          <w:rFonts w:ascii="Arial" w:hAnsi="Arial" w:cs="Arial"/>
          <w:b/>
        </w:rPr>
        <w:tab/>
      </w:r>
      <w:r w:rsidR="00BA089C" w:rsidRPr="00AD7985">
        <w:rPr>
          <w:rFonts w:ascii="Arial" w:hAnsi="Arial" w:cs="Arial"/>
          <w:b/>
        </w:rPr>
        <w:t>Introduction</w:t>
      </w:r>
    </w:p>
    <w:p w:rsidR="00BA089C" w:rsidRPr="00AD7985" w:rsidRDefault="00BA089C" w:rsidP="00BA089C">
      <w:pPr>
        <w:rPr>
          <w:rFonts w:ascii="Arial" w:hAnsi="Arial" w:cs="Arial"/>
        </w:rPr>
      </w:pPr>
    </w:p>
    <w:p w:rsidR="00536727" w:rsidRPr="00536727" w:rsidRDefault="00536727" w:rsidP="00536727">
      <w:pPr>
        <w:pStyle w:val="Pa0"/>
        <w:numPr>
          <w:ilvl w:val="1"/>
          <w:numId w:val="2"/>
        </w:numPr>
        <w:spacing w:line="240" w:lineRule="auto"/>
        <w:jc w:val="both"/>
        <w:rPr>
          <w:rFonts w:ascii="Arial" w:hAnsi="Arial" w:cs="Arial"/>
          <w:color w:val="000000"/>
        </w:rPr>
      </w:pPr>
      <w:r w:rsidRPr="00536727">
        <w:rPr>
          <w:rFonts w:ascii="Arial" w:hAnsi="Arial" w:cs="Arial"/>
          <w:color w:val="000000"/>
        </w:rPr>
        <w:t>A professional, independent and objective internal audit service is one of the key elements of good governance in local government.</w:t>
      </w:r>
    </w:p>
    <w:p w:rsidR="00536727" w:rsidRPr="00536727" w:rsidRDefault="00536727" w:rsidP="00536727">
      <w:pPr>
        <w:pStyle w:val="Pa6"/>
        <w:jc w:val="both"/>
        <w:rPr>
          <w:rFonts w:ascii="Arial" w:hAnsi="Arial" w:cs="Arial"/>
          <w:color w:val="4F81BD"/>
        </w:rPr>
      </w:pPr>
    </w:p>
    <w:p w:rsidR="00536727" w:rsidRPr="00AD7985" w:rsidRDefault="00536727" w:rsidP="00AD7985">
      <w:pPr>
        <w:ind w:left="720"/>
        <w:rPr>
          <w:rFonts w:ascii="Arial" w:hAnsi="Arial" w:cs="Arial"/>
          <w:b/>
        </w:rPr>
      </w:pPr>
      <w:r w:rsidRPr="00AD7985">
        <w:rPr>
          <w:rFonts w:ascii="Arial" w:hAnsi="Arial" w:cs="Arial"/>
          <w:b/>
        </w:rPr>
        <w:t>The UK Public Sector Internal Audit Standards</w:t>
      </w:r>
    </w:p>
    <w:p w:rsidR="00536727" w:rsidRPr="00536727" w:rsidRDefault="00536727" w:rsidP="00536727">
      <w:pPr>
        <w:pStyle w:val="Pa6"/>
        <w:jc w:val="both"/>
        <w:rPr>
          <w:rFonts w:ascii="Arial" w:hAnsi="Arial" w:cs="Arial"/>
          <w:color w:val="4F81BD"/>
        </w:rPr>
      </w:pPr>
    </w:p>
    <w:p w:rsidR="00536727" w:rsidRPr="00536727" w:rsidRDefault="00536727" w:rsidP="00536727">
      <w:pPr>
        <w:pStyle w:val="Pa0"/>
        <w:numPr>
          <w:ilvl w:val="1"/>
          <w:numId w:val="2"/>
        </w:numPr>
        <w:spacing w:line="240" w:lineRule="auto"/>
        <w:jc w:val="both"/>
        <w:rPr>
          <w:rFonts w:ascii="Arial" w:hAnsi="Arial" w:cs="Arial"/>
          <w:color w:val="000000"/>
        </w:rPr>
      </w:pPr>
      <w:r w:rsidRPr="00536727">
        <w:rPr>
          <w:rFonts w:ascii="Arial" w:hAnsi="Arial" w:cs="Arial"/>
          <w:color w:val="000000"/>
        </w:rPr>
        <w:t>The Relevant Internal Audit Standard Setters</w:t>
      </w:r>
      <w:r w:rsidR="00917DCA">
        <w:rPr>
          <w:rFonts w:ascii="Arial" w:hAnsi="Arial" w:cs="Arial"/>
          <w:color w:val="000000"/>
        </w:rPr>
        <w:t>*</w:t>
      </w:r>
      <w:r w:rsidRPr="00536727">
        <w:rPr>
          <w:rFonts w:ascii="Arial" w:hAnsi="Arial" w:cs="Arial"/>
          <w:color w:val="000000"/>
          <w:position w:val="6"/>
          <w:vertAlign w:val="superscript"/>
        </w:rPr>
        <w:t xml:space="preserve"> </w:t>
      </w:r>
      <w:r w:rsidRPr="00536727">
        <w:rPr>
          <w:rFonts w:ascii="Arial" w:hAnsi="Arial" w:cs="Arial"/>
          <w:color w:val="000000"/>
        </w:rPr>
        <w:t>have adopted a common set of Public Sector Internal Audit Standards (PSIAS) from 1 April 2013</w:t>
      </w:r>
      <w:r w:rsidR="006C5FB7">
        <w:rPr>
          <w:rFonts w:ascii="Arial" w:hAnsi="Arial" w:cs="Arial"/>
          <w:color w:val="000000"/>
        </w:rPr>
        <w:t xml:space="preserve"> (further updated in 2016 and 2017 accordingly</w:t>
      </w:r>
      <w:r w:rsidRPr="00536727">
        <w:rPr>
          <w:rFonts w:ascii="Arial" w:hAnsi="Arial" w:cs="Arial"/>
          <w:color w:val="000000"/>
        </w:rPr>
        <w:t xml:space="preserve">. </w:t>
      </w:r>
      <w:r w:rsidR="007D712D">
        <w:rPr>
          <w:rFonts w:ascii="Arial" w:hAnsi="Arial" w:cs="Arial"/>
          <w:color w:val="000000"/>
        </w:rPr>
        <w:t xml:space="preserve">Note that this review is against the 2016 standards with the latest standards coming into effect in April 2017). </w:t>
      </w:r>
      <w:r w:rsidRPr="00536727">
        <w:rPr>
          <w:rFonts w:ascii="Arial" w:hAnsi="Arial" w:cs="Arial"/>
          <w:color w:val="000000"/>
        </w:rPr>
        <w:t xml:space="preserve">The PSIAS encompass the mandatory elements of the Global Institute of Internal Auditors (IIA Global) International Professional Practices Framework (IPPF) as follows: </w:t>
      </w:r>
    </w:p>
    <w:p w:rsidR="00536727" w:rsidRPr="00536727" w:rsidRDefault="00536727" w:rsidP="00536727">
      <w:pPr>
        <w:pStyle w:val="Pa6"/>
        <w:jc w:val="both"/>
        <w:rPr>
          <w:rFonts w:ascii="Arial" w:hAnsi="Arial" w:cs="Arial"/>
          <w:color w:val="4F81BD"/>
        </w:rPr>
      </w:pPr>
    </w:p>
    <w:p w:rsidR="00536727" w:rsidRPr="00536727" w:rsidRDefault="00536727" w:rsidP="00536727">
      <w:pPr>
        <w:pStyle w:val="Pa6"/>
        <w:numPr>
          <w:ilvl w:val="0"/>
          <w:numId w:val="1"/>
        </w:numPr>
        <w:spacing w:line="240" w:lineRule="auto"/>
        <w:ind w:left="1134" w:hanging="426"/>
        <w:jc w:val="both"/>
        <w:rPr>
          <w:rFonts w:ascii="Arial" w:hAnsi="Arial" w:cs="Arial"/>
          <w:color w:val="000000"/>
        </w:rPr>
      </w:pPr>
      <w:r w:rsidRPr="00536727">
        <w:rPr>
          <w:rFonts w:ascii="Arial" w:hAnsi="Arial" w:cs="Arial"/>
          <w:color w:val="000000"/>
        </w:rPr>
        <w:t xml:space="preserve">Definition of Internal Auditing </w:t>
      </w:r>
    </w:p>
    <w:p w:rsidR="00536727" w:rsidRPr="00536727" w:rsidRDefault="00536727" w:rsidP="00536727">
      <w:pPr>
        <w:pStyle w:val="Pa6"/>
        <w:numPr>
          <w:ilvl w:val="0"/>
          <w:numId w:val="1"/>
        </w:numPr>
        <w:spacing w:line="240" w:lineRule="auto"/>
        <w:ind w:left="1134" w:hanging="426"/>
        <w:jc w:val="both"/>
        <w:rPr>
          <w:rFonts w:ascii="Arial" w:hAnsi="Arial" w:cs="Arial"/>
          <w:color w:val="000000"/>
        </w:rPr>
      </w:pPr>
      <w:r w:rsidRPr="00536727">
        <w:rPr>
          <w:rFonts w:ascii="Arial" w:hAnsi="Arial" w:cs="Arial"/>
          <w:color w:val="000000"/>
        </w:rPr>
        <w:t xml:space="preserve">Code of Ethics, and </w:t>
      </w:r>
    </w:p>
    <w:p w:rsidR="00536727" w:rsidRPr="00536727" w:rsidRDefault="00536727" w:rsidP="00536727">
      <w:pPr>
        <w:pStyle w:val="Pa6"/>
        <w:numPr>
          <w:ilvl w:val="0"/>
          <w:numId w:val="1"/>
        </w:numPr>
        <w:spacing w:line="240" w:lineRule="auto"/>
        <w:ind w:left="1134" w:hanging="426"/>
        <w:jc w:val="both"/>
        <w:rPr>
          <w:rFonts w:ascii="Arial" w:hAnsi="Arial" w:cs="Arial"/>
          <w:color w:val="000000"/>
        </w:rPr>
      </w:pPr>
      <w:r w:rsidRPr="00536727">
        <w:rPr>
          <w:rFonts w:ascii="Arial" w:hAnsi="Arial" w:cs="Arial"/>
          <w:color w:val="000000"/>
        </w:rPr>
        <w:t xml:space="preserve">International Standards for the Professional Practice of Internal Auditing (including interpretations and glossary) </w:t>
      </w:r>
    </w:p>
    <w:p w:rsidR="00536727" w:rsidRPr="00536727" w:rsidRDefault="00536727" w:rsidP="00536727">
      <w:pPr>
        <w:pStyle w:val="Pa6"/>
        <w:jc w:val="both"/>
        <w:rPr>
          <w:rFonts w:ascii="Arial" w:hAnsi="Arial" w:cs="Arial"/>
          <w:color w:val="4F81BD"/>
        </w:rPr>
      </w:pPr>
    </w:p>
    <w:p w:rsidR="00536727" w:rsidRPr="00536727" w:rsidRDefault="00536727" w:rsidP="00536727">
      <w:pPr>
        <w:pStyle w:val="Pa0"/>
        <w:numPr>
          <w:ilvl w:val="1"/>
          <w:numId w:val="2"/>
        </w:numPr>
        <w:spacing w:line="240" w:lineRule="auto"/>
        <w:jc w:val="both"/>
        <w:rPr>
          <w:rFonts w:ascii="Arial" w:hAnsi="Arial" w:cs="Arial"/>
        </w:rPr>
      </w:pPr>
      <w:r w:rsidRPr="00536727">
        <w:rPr>
          <w:rFonts w:ascii="Arial" w:hAnsi="Arial" w:cs="Arial"/>
        </w:rPr>
        <w:t xml:space="preserve">Additional requirements and interpretations for the UK public sector have been inserted in </w:t>
      </w:r>
      <w:r w:rsidRPr="00536727">
        <w:rPr>
          <w:rFonts w:ascii="Arial" w:hAnsi="Arial" w:cs="Arial"/>
          <w:color w:val="000000"/>
        </w:rPr>
        <w:t>such</w:t>
      </w:r>
      <w:r w:rsidRPr="00536727">
        <w:rPr>
          <w:rFonts w:ascii="Arial" w:hAnsi="Arial" w:cs="Arial"/>
        </w:rPr>
        <w:t xml:space="preserve"> a way as to preserve the integrity of the text of the mandatory elements of the IPPF.</w:t>
      </w:r>
    </w:p>
    <w:p w:rsidR="00536727" w:rsidRPr="00536727" w:rsidRDefault="00536727" w:rsidP="00536727">
      <w:pPr>
        <w:pStyle w:val="Pa6"/>
        <w:jc w:val="both"/>
        <w:rPr>
          <w:rFonts w:ascii="Arial" w:hAnsi="Arial" w:cs="Arial"/>
          <w:color w:val="4F81BD"/>
        </w:rPr>
      </w:pPr>
    </w:p>
    <w:p w:rsidR="00536727" w:rsidRPr="00536727" w:rsidRDefault="00536727" w:rsidP="00536727">
      <w:pPr>
        <w:pStyle w:val="Pa0"/>
        <w:numPr>
          <w:ilvl w:val="1"/>
          <w:numId w:val="2"/>
        </w:numPr>
        <w:spacing w:line="240" w:lineRule="auto"/>
        <w:jc w:val="both"/>
        <w:rPr>
          <w:rFonts w:ascii="Arial" w:hAnsi="Arial" w:cs="Arial"/>
        </w:rPr>
      </w:pPr>
      <w:r w:rsidRPr="00536727">
        <w:rPr>
          <w:rFonts w:ascii="Arial" w:hAnsi="Arial" w:cs="Arial"/>
        </w:rPr>
        <w:t xml:space="preserve">The </w:t>
      </w:r>
      <w:r w:rsidRPr="00536727">
        <w:rPr>
          <w:rFonts w:ascii="Arial" w:hAnsi="Arial" w:cs="Arial"/>
          <w:color w:val="000000"/>
        </w:rPr>
        <w:t>PSIAS</w:t>
      </w:r>
      <w:r w:rsidRPr="00536727">
        <w:rPr>
          <w:rFonts w:ascii="Arial" w:hAnsi="Arial" w:cs="Arial"/>
        </w:rPr>
        <w:t xml:space="preserve"> apply to all public sector internal audit service providers, whether in-house, shared services or outsourced. </w:t>
      </w:r>
    </w:p>
    <w:p w:rsidR="00536727" w:rsidRPr="00536727" w:rsidRDefault="00536727" w:rsidP="00536727">
      <w:pPr>
        <w:pStyle w:val="Pa6"/>
        <w:jc w:val="both"/>
        <w:rPr>
          <w:rFonts w:ascii="Arial" w:hAnsi="Arial" w:cs="Arial"/>
          <w:color w:val="4F81BD"/>
        </w:rPr>
      </w:pPr>
    </w:p>
    <w:p w:rsidR="00536727" w:rsidRDefault="00536727" w:rsidP="00536727">
      <w:pPr>
        <w:pStyle w:val="Pa0"/>
        <w:numPr>
          <w:ilvl w:val="1"/>
          <w:numId w:val="2"/>
        </w:numPr>
        <w:spacing w:line="240" w:lineRule="auto"/>
        <w:jc w:val="both"/>
        <w:rPr>
          <w:rFonts w:ascii="Arial" w:hAnsi="Arial" w:cs="Arial"/>
          <w:i/>
        </w:rPr>
      </w:pPr>
      <w:r w:rsidRPr="00536727">
        <w:rPr>
          <w:rFonts w:ascii="Arial" w:hAnsi="Arial" w:cs="Arial"/>
        </w:rPr>
        <w:t xml:space="preserve">The Code of Ethics promotes an ethical, professional culture. It does not supersede or replace internal auditors’ own professional bodies’ Codes of Ethics or those of employing organisations. Internal auditors must also have regard to the Committee </w:t>
      </w:r>
      <w:r w:rsidR="007D712D">
        <w:rPr>
          <w:rFonts w:ascii="Arial" w:hAnsi="Arial" w:cs="Arial"/>
        </w:rPr>
        <w:t xml:space="preserve">. </w:t>
      </w:r>
      <w:r w:rsidRPr="00536727">
        <w:rPr>
          <w:rFonts w:ascii="Arial" w:hAnsi="Arial" w:cs="Arial"/>
        </w:rPr>
        <w:t xml:space="preserve">on Standards of Public Life’s </w:t>
      </w:r>
      <w:r w:rsidRPr="00536727">
        <w:rPr>
          <w:rFonts w:ascii="Arial" w:hAnsi="Arial" w:cs="Arial"/>
          <w:i/>
        </w:rPr>
        <w:t>Seven Principles of Public Life.</w:t>
      </w:r>
    </w:p>
    <w:p w:rsidR="00917DCA" w:rsidRDefault="00917DCA" w:rsidP="00917DCA"/>
    <w:p w:rsidR="00917DCA" w:rsidRPr="00917DCA" w:rsidRDefault="00917DCA" w:rsidP="00917DCA">
      <w:pPr>
        <w:jc w:val="both"/>
        <w:rPr>
          <w:rFonts w:ascii="Arial" w:hAnsi="Arial" w:cs="Arial"/>
          <w:sz w:val="20"/>
          <w:szCs w:val="20"/>
        </w:rPr>
      </w:pPr>
      <w:r w:rsidRPr="00917DCA">
        <w:rPr>
          <w:rFonts w:ascii="Arial" w:hAnsi="Arial" w:cs="Arial"/>
          <w:sz w:val="20"/>
          <w:szCs w:val="20"/>
        </w:rPr>
        <w:t>[</w:t>
      </w:r>
      <w:r>
        <w:rPr>
          <w:rFonts w:ascii="Arial" w:hAnsi="Arial" w:cs="Arial"/>
          <w:sz w:val="20"/>
          <w:szCs w:val="20"/>
        </w:rPr>
        <w:t>*</w:t>
      </w:r>
      <w:r w:rsidRPr="00917DCA">
        <w:rPr>
          <w:rFonts w:ascii="Arial" w:hAnsi="Arial" w:cs="Arial"/>
          <w:sz w:val="20"/>
          <w:szCs w:val="20"/>
        </w:rPr>
        <w:t>The Relevant Internal Audit Standard Setters are: HM Treasury in respect of central government; the Scottish Government, the Department of Finance and Personnel Northern Ireland and the Welsh Government in respect of central government and the health sector in their administrations; the Department of Health in respect of the health sector in England (excluding Foundation Trusts); and the Chartered Institute of Public Finance and Accountancy in respect of local government across the UK]</w:t>
      </w:r>
    </w:p>
    <w:p w:rsidR="00536727" w:rsidRPr="00536727" w:rsidRDefault="00536727" w:rsidP="00536727">
      <w:pPr>
        <w:pStyle w:val="Pa6"/>
        <w:jc w:val="both"/>
        <w:rPr>
          <w:rFonts w:ascii="Arial" w:hAnsi="Arial" w:cs="Arial"/>
          <w:color w:val="4F81BD"/>
        </w:rPr>
      </w:pPr>
    </w:p>
    <w:p w:rsidR="00536727" w:rsidRPr="00AD7985" w:rsidRDefault="00536727" w:rsidP="00AD7985">
      <w:pPr>
        <w:ind w:left="720"/>
        <w:rPr>
          <w:rFonts w:ascii="Arial" w:hAnsi="Arial" w:cs="Arial"/>
          <w:b/>
        </w:rPr>
      </w:pPr>
      <w:r w:rsidRPr="00AD7985">
        <w:rPr>
          <w:rFonts w:ascii="Arial" w:hAnsi="Arial" w:cs="Arial"/>
          <w:b/>
        </w:rPr>
        <w:t>Statutory Requirements</w:t>
      </w:r>
    </w:p>
    <w:p w:rsidR="00536727" w:rsidRPr="00536727" w:rsidRDefault="00536727" w:rsidP="00536727">
      <w:pPr>
        <w:pStyle w:val="Pa6"/>
        <w:jc w:val="both"/>
        <w:rPr>
          <w:rFonts w:ascii="Arial" w:hAnsi="Arial" w:cs="Arial"/>
          <w:color w:val="4F81BD"/>
        </w:rPr>
      </w:pPr>
    </w:p>
    <w:p w:rsidR="00536727" w:rsidRPr="00536727" w:rsidRDefault="00536727" w:rsidP="00536727">
      <w:pPr>
        <w:pStyle w:val="Pa0"/>
        <w:numPr>
          <w:ilvl w:val="1"/>
          <w:numId w:val="2"/>
        </w:numPr>
        <w:spacing w:line="240" w:lineRule="auto"/>
        <w:jc w:val="both"/>
        <w:rPr>
          <w:rFonts w:ascii="Arial" w:hAnsi="Arial" w:cs="Arial"/>
        </w:rPr>
      </w:pPr>
      <w:r w:rsidRPr="00536727">
        <w:rPr>
          <w:rFonts w:ascii="Arial" w:hAnsi="Arial" w:cs="Arial"/>
        </w:rPr>
        <w:t>The Accounts and Audit (England) Regulations 2011 state that “A relevant body must undertake an adequate and effective internal audit of its accounting records and of its system of internal control in accordance with the proper practices in relation to internal control” (6 (1)).</w:t>
      </w:r>
    </w:p>
    <w:p w:rsidR="00917DCA" w:rsidRDefault="00917DCA" w:rsidP="00917DCA"/>
    <w:p w:rsidR="00536727" w:rsidRDefault="00536727" w:rsidP="00536727">
      <w:pPr>
        <w:pStyle w:val="Pa0"/>
        <w:numPr>
          <w:ilvl w:val="1"/>
          <w:numId w:val="2"/>
        </w:numPr>
        <w:spacing w:line="240" w:lineRule="auto"/>
        <w:jc w:val="both"/>
        <w:rPr>
          <w:rFonts w:ascii="Arial" w:hAnsi="Arial" w:cs="Arial"/>
        </w:rPr>
      </w:pPr>
      <w:r w:rsidRPr="00536727">
        <w:rPr>
          <w:rFonts w:ascii="Arial" w:hAnsi="Arial" w:cs="Arial"/>
        </w:rPr>
        <w:lastRenderedPageBreak/>
        <w:t xml:space="preserve">Section 151 of the Local Government Act 1972 states that every local authority in England and Wales should “make arrangements for the proper administration of their financial affairs and shall secure that one of their officers has responsibility for the administration of those affairs”. CIPFA has defined ‘proper administration’ in that it should include “compliance with the statutory requirements for accounting and internal audit”. </w:t>
      </w:r>
    </w:p>
    <w:p w:rsidR="00917DCA" w:rsidRPr="00917DCA" w:rsidRDefault="00917DCA" w:rsidP="00917DCA">
      <w:pPr>
        <w:rPr>
          <w:rFonts w:ascii="Arial" w:hAnsi="Arial" w:cs="Arial"/>
        </w:rPr>
      </w:pPr>
    </w:p>
    <w:p w:rsidR="00917DCA" w:rsidRPr="00917DCA" w:rsidRDefault="00917DCA" w:rsidP="00917DCA">
      <w:pPr>
        <w:pStyle w:val="Pa0"/>
        <w:numPr>
          <w:ilvl w:val="1"/>
          <w:numId w:val="2"/>
        </w:numPr>
        <w:spacing w:line="240" w:lineRule="auto"/>
        <w:jc w:val="both"/>
        <w:rPr>
          <w:rFonts w:ascii="Arial" w:hAnsi="Arial" w:cs="Arial"/>
        </w:rPr>
      </w:pPr>
      <w:r w:rsidRPr="00917DCA">
        <w:rPr>
          <w:rFonts w:ascii="Arial" w:hAnsi="Arial" w:cs="Arial"/>
        </w:rPr>
        <w:t>The statement on the role of the C</w:t>
      </w:r>
      <w:r>
        <w:rPr>
          <w:rFonts w:ascii="Arial" w:hAnsi="Arial" w:cs="Arial"/>
        </w:rPr>
        <w:t xml:space="preserve">hief </w:t>
      </w:r>
      <w:r w:rsidRPr="00917DCA">
        <w:rPr>
          <w:rFonts w:ascii="Arial" w:hAnsi="Arial" w:cs="Arial"/>
        </w:rPr>
        <w:t>F</w:t>
      </w:r>
      <w:r>
        <w:rPr>
          <w:rFonts w:ascii="Arial" w:hAnsi="Arial" w:cs="Arial"/>
        </w:rPr>
        <w:t xml:space="preserve">inancial </w:t>
      </w:r>
      <w:r w:rsidRPr="00917DCA">
        <w:rPr>
          <w:rFonts w:ascii="Arial" w:hAnsi="Arial" w:cs="Arial"/>
        </w:rPr>
        <w:t>O</w:t>
      </w:r>
      <w:r>
        <w:rPr>
          <w:rFonts w:ascii="Arial" w:hAnsi="Arial" w:cs="Arial"/>
        </w:rPr>
        <w:t>fficer (CFO)</w:t>
      </w:r>
      <w:r w:rsidRPr="00917DCA">
        <w:rPr>
          <w:rFonts w:ascii="Arial" w:hAnsi="Arial" w:cs="Arial"/>
        </w:rPr>
        <w:t xml:space="preserve"> in local government states that the CFO must:</w:t>
      </w:r>
    </w:p>
    <w:p w:rsidR="00917DCA" w:rsidRPr="00917DCA" w:rsidRDefault="00917DCA" w:rsidP="00917DCA">
      <w:pPr>
        <w:pStyle w:val="Pa6"/>
        <w:jc w:val="both"/>
        <w:rPr>
          <w:rFonts w:ascii="Arial" w:hAnsi="Arial" w:cs="Arial"/>
          <w:color w:val="4F81BD"/>
        </w:rPr>
      </w:pPr>
    </w:p>
    <w:p w:rsidR="00917DCA" w:rsidRPr="00917DCA" w:rsidRDefault="00917DCA" w:rsidP="00917DCA">
      <w:pPr>
        <w:pStyle w:val="Pa6"/>
        <w:numPr>
          <w:ilvl w:val="0"/>
          <w:numId w:val="1"/>
        </w:numPr>
        <w:spacing w:line="240" w:lineRule="auto"/>
        <w:ind w:left="1134" w:hanging="426"/>
        <w:jc w:val="both"/>
        <w:rPr>
          <w:rFonts w:ascii="Arial" w:hAnsi="Arial" w:cs="Arial"/>
          <w:color w:val="000000"/>
        </w:rPr>
      </w:pPr>
      <w:r w:rsidRPr="00917DCA">
        <w:rPr>
          <w:rFonts w:ascii="Arial" w:hAnsi="Arial" w:cs="Arial"/>
        </w:rPr>
        <w:t xml:space="preserve">ensure an effective internal audit function is resourced and maintained </w:t>
      </w:r>
    </w:p>
    <w:p w:rsidR="00917DCA" w:rsidRPr="00917DCA" w:rsidRDefault="00917DCA" w:rsidP="00917DCA">
      <w:pPr>
        <w:pStyle w:val="Pa6"/>
        <w:numPr>
          <w:ilvl w:val="0"/>
          <w:numId w:val="1"/>
        </w:numPr>
        <w:spacing w:line="240" w:lineRule="auto"/>
        <w:ind w:left="1134" w:hanging="426"/>
        <w:jc w:val="both"/>
        <w:rPr>
          <w:rFonts w:ascii="Arial" w:hAnsi="Arial" w:cs="Arial"/>
          <w:color w:val="000000"/>
        </w:rPr>
      </w:pPr>
      <w:r w:rsidRPr="00917DCA">
        <w:rPr>
          <w:rFonts w:ascii="Arial" w:hAnsi="Arial" w:cs="Arial"/>
        </w:rPr>
        <w:t>ensure that the authority has put in place effective arrangements for internal audit of the control environment</w:t>
      </w:r>
    </w:p>
    <w:p w:rsidR="00917DCA" w:rsidRPr="00917DCA" w:rsidRDefault="00917DCA" w:rsidP="00917DCA">
      <w:pPr>
        <w:pStyle w:val="Pa6"/>
        <w:numPr>
          <w:ilvl w:val="0"/>
          <w:numId w:val="1"/>
        </w:numPr>
        <w:spacing w:line="240" w:lineRule="auto"/>
        <w:ind w:left="1134" w:hanging="426"/>
        <w:jc w:val="both"/>
        <w:rPr>
          <w:rFonts w:ascii="Arial" w:hAnsi="Arial" w:cs="Arial"/>
          <w:color w:val="000000"/>
        </w:rPr>
      </w:pPr>
      <w:r w:rsidRPr="00917DCA">
        <w:rPr>
          <w:rFonts w:ascii="Arial" w:hAnsi="Arial" w:cs="Arial"/>
        </w:rPr>
        <w:t>support the authority’s internal audit arrangements, and</w:t>
      </w:r>
    </w:p>
    <w:p w:rsidR="00917DCA" w:rsidRPr="00917DCA" w:rsidRDefault="00917DCA" w:rsidP="00917DCA">
      <w:pPr>
        <w:pStyle w:val="Pa6"/>
        <w:numPr>
          <w:ilvl w:val="0"/>
          <w:numId w:val="1"/>
        </w:numPr>
        <w:spacing w:line="240" w:lineRule="auto"/>
        <w:ind w:left="1134" w:hanging="426"/>
        <w:jc w:val="both"/>
        <w:rPr>
          <w:rFonts w:ascii="Arial" w:hAnsi="Arial" w:cs="Arial"/>
          <w:color w:val="000000"/>
        </w:rPr>
      </w:pPr>
      <w:r w:rsidRPr="00917DCA">
        <w:rPr>
          <w:rFonts w:ascii="Arial" w:hAnsi="Arial" w:cs="Arial"/>
        </w:rPr>
        <w:t>Ensure that the audit committee receives the necessary advice and information, so that both functions can operate effectively.</w:t>
      </w:r>
    </w:p>
    <w:p w:rsidR="00917DCA" w:rsidRPr="00917DCA" w:rsidRDefault="00917DCA" w:rsidP="00917DCA">
      <w:pPr>
        <w:pStyle w:val="Pa6"/>
        <w:jc w:val="both"/>
        <w:rPr>
          <w:rFonts w:ascii="Arial" w:hAnsi="Arial" w:cs="Arial"/>
          <w:color w:val="4F81BD"/>
        </w:rPr>
      </w:pPr>
    </w:p>
    <w:p w:rsidR="00917DCA" w:rsidRDefault="00917DCA" w:rsidP="00917DCA">
      <w:pPr>
        <w:pStyle w:val="Pa0"/>
        <w:numPr>
          <w:ilvl w:val="1"/>
          <w:numId w:val="2"/>
        </w:numPr>
        <w:spacing w:line="240" w:lineRule="auto"/>
        <w:jc w:val="both"/>
        <w:rPr>
          <w:rFonts w:ascii="Arial" w:hAnsi="Arial" w:cs="Arial"/>
          <w:color w:val="000000"/>
        </w:rPr>
      </w:pPr>
      <w:r w:rsidRPr="00917DCA">
        <w:rPr>
          <w:rFonts w:ascii="Arial" w:hAnsi="Arial" w:cs="Arial"/>
          <w:color w:val="000000"/>
        </w:rPr>
        <w:t>The relationship between the chief audit executive and the CFO is therefore of particular importance in local government.</w:t>
      </w:r>
    </w:p>
    <w:p w:rsidR="00E96958" w:rsidRDefault="00E96958" w:rsidP="00E96958"/>
    <w:p w:rsidR="00E96958" w:rsidRDefault="00E96958" w:rsidP="00E96958">
      <w:pPr>
        <w:ind w:left="720"/>
        <w:rPr>
          <w:rFonts w:ascii="Arial" w:hAnsi="Arial" w:cs="Arial"/>
          <w:b/>
        </w:rPr>
      </w:pPr>
      <w:r>
        <w:rPr>
          <w:rFonts w:ascii="Arial" w:hAnsi="Arial" w:cs="Arial"/>
          <w:b/>
        </w:rPr>
        <w:t>External Review of Internal Audit</w:t>
      </w:r>
    </w:p>
    <w:p w:rsidR="00E96958" w:rsidRPr="00AA389B" w:rsidRDefault="00E96958" w:rsidP="00AA389B">
      <w:pPr>
        <w:ind w:left="720"/>
        <w:jc w:val="both"/>
        <w:rPr>
          <w:rFonts w:ascii="Arial" w:hAnsi="Arial" w:cs="Arial"/>
          <w:b/>
        </w:rPr>
      </w:pPr>
    </w:p>
    <w:p w:rsidR="00AA389B" w:rsidRPr="00AA389B" w:rsidRDefault="00E96958" w:rsidP="00AA389B">
      <w:pPr>
        <w:pStyle w:val="Pa0"/>
        <w:ind w:left="720" w:hanging="720"/>
        <w:jc w:val="both"/>
        <w:rPr>
          <w:rFonts w:ascii="Arial" w:hAnsi="Arial" w:cs="Arial"/>
          <w:color w:val="000000"/>
        </w:rPr>
      </w:pPr>
      <w:r w:rsidRPr="00AA389B">
        <w:rPr>
          <w:rFonts w:ascii="Arial" w:hAnsi="Arial" w:cs="Arial"/>
        </w:rPr>
        <w:t>1.10</w:t>
      </w:r>
      <w:r w:rsidRPr="00AA389B">
        <w:rPr>
          <w:rFonts w:ascii="Arial" w:hAnsi="Arial" w:cs="Arial"/>
        </w:rPr>
        <w:tab/>
      </w:r>
      <w:r w:rsidR="00AA389B" w:rsidRPr="00AA389B">
        <w:rPr>
          <w:rFonts w:ascii="Arial" w:hAnsi="Arial" w:cs="Arial"/>
        </w:rPr>
        <w:t>Standard 1312 states that “</w:t>
      </w:r>
      <w:r w:rsidR="00AA389B" w:rsidRPr="00AA389B">
        <w:rPr>
          <w:rFonts w:ascii="Arial" w:hAnsi="Arial" w:cs="Arial"/>
          <w:color w:val="000000"/>
        </w:rPr>
        <w:t>External assessments must be conducted at least once every five years by a qualified, independent assessor or assessment team from outside the organisation…………..External assessments can be in the form of a full external assessment, or a self-assessment with independent validation.”  “A qualified assessor or assessment team demonstrates competence in two areas: the professional practice of internal auditing and the external assessment process. Competence can be demonstrated through a mixture of experience and theoretical learning. Experience gained in organisations of similar size, complexity, sector or industry and technical issues is more valuable than less relevant experience.</w:t>
      </w:r>
      <w:r w:rsidR="00AA389B">
        <w:rPr>
          <w:rFonts w:ascii="Arial" w:hAnsi="Arial" w:cs="Arial"/>
          <w:color w:val="000000"/>
        </w:rPr>
        <w:t>”</w:t>
      </w:r>
      <w:r w:rsidR="00AA389B" w:rsidRPr="00AA389B">
        <w:rPr>
          <w:rFonts w:ascii="Arial" w:hAnsi="Arial" w:cs="Arial"/>
          <w:color w:val="000000"/>
        </w:rPr>
        <w:t xml:space="preserve"> </w:t>
      </w:r>
      <w:r w:rsidR="00AA389B">
        <w:rPr>
          <w:rFonts w:ascii="Arial" w:hAnsi="Arial" w:cs="Arial"/>
          <w:color w:val="000000"/>
        </w:rPr>
        <w:t>“</w:t>
      </w:r>
      <w:r w:rsidR="00AA389B" w:rsidRPr="00AA389B">
        <w:rPr>
          <w:rFonts w:ascii="Arial" w:hAnsi="Arial" w:cs="Arial"/>
          <w:color w:val="000000"/>
        </w:rPr>
        <w:t>The chief audit executive uses professional judgment when assessing whether an assessor or assessment team demonstrates sufficient competence to be qualified.”</w:t>
      </w:r>
    </w:p>
    <w:p w:rsidR="00AA389B" w:rsidRDefault="00AA389B" w:rsidP="00AA389B">
      <w:pPr>
        <w:ind w:left="720" w:hanging="720"/>
        <w:jc w:val="both"/>
        <w:rPr>
          <w:rFonts w:ascii="Arial" w:hAnsi="Arial" w:cs="Arial"/>
          <w:color w:val="000000"/>
        </w:rPr>
      </w:pPr>
    </w:p>
    <w:p w:rsidR="00E96958" w:rsidRDefault="00AA389B" w:rsidP="00AA389B">
      <w:pPr>
        <w:ind w:left="720" w:hanging="720"/>
        <w:jc w:val="both"/>
        <w:rPr>
          <w:rFonts w:ascii="Arial" w:hAnsi="Arial" w:cs="Arial"/>
          <w:color w:val="000000"/>
        </w:rPr>
      </w:pPr>
      <w:r>
        <w:rPr>
          <w:rFonts w:ascii="Arial" w:hAnsi="Arial" w:cs="Arial"/>
          <w:color w:val="000000"/>
        </w:rPr>
        <w:t>1.11</w:t>
      </w:r>
      <w:r>
        <w:rPr>
          <w:rFonts w:ascii="Arial" w:hAnsi="Arial" w:cs="Arial"/>
          <w:color w:val="000000"/>
        </w:rPr>
        <w:tab/>
        <w:t>“</w:t>
      </w:r>
      <w:r w:rsidRPr="00AA389B">
        <w:rPr>
          <w:rFonts w:ascii="Arial" w:hAnsi="Arial" w:cs="Arial"/>
          <w:color w:val="000000"/>
        </w:rPr>
        <w:t>An independent assessor or assessment team means not having either a real or an apparent conflict of interest and not being a part of, or under the control of, the organisation to which the internal audit activity belongs.</w:t>
      </w:r>
      <w:r>
        <w:rPr>
          <w:rFonts w:ascii="Arial" w:hAnsi="Arial" w:cs="Arial"/>
          <w:color w:val="000000"/>
        </w:rPr>
        <w:t>”</w:t>
      </w:r>
    </w:p>
    <w:p w:rsidR="00AA389B" w:rsidRDefault="00AA389B" w:rsidP="00AA389B">
      <w:pPr>
        <w:ind w:left="720" w:hanging="720"/>
        <w:jc w:val="both"/>
        <w:rPr>
          <w:rFonts w:ascii="Arial" w:hAnsi="Arial" w:cs="Arial"/>
        </w:rPr>
      </w:pPr>
    </w:p>
    <w:p w:rsidR="00AA389B" w:rsidRDefault="00AA389B" w:rsidP="00AA389B">
      <w:pPr>
        <w:ind w:left="720" w:hanging="720"/>
        <w:jc w:val="both"/>
        <w:rPr>
          <w:rFonts w:ascii="Arial" w:hAnsi="Arial" w:cs="Arial"/>
        </w:rPr>
      </w:pPr>
      <w:r>
        <w:rPr>
          <w:rFonts w:ascii="Arial" w:hAnsi="Arial" w:cs="Arial"/>
        </w:rPr>
        <w:t>1.12</w:t>
      </w:r>
      <w:r>
        <w:rPr>
          <w:rFonts w:ascii="Arial" w:hAnsi="Arial" w:cs="Arial"/>
        </w:rPr>
        <w:tab/>
        <w:t xml:space="preserve">In London, The London Audit Group has organised a system of peer review, with 32 of the 33 London Boroughs agreeing to take part. It has been agreed that </w:t>
      </w:r>
      <w:r w:rsidR="00D75CA4">
        <w:rPr>
          <w:rFonts w:ascii="Arial" w:hAnsi="Arial" w:cs="Arial"/>
        </w:rPr>
        <w:t>self-assessments</w:t>
      </w:r>
      <w:r>
        <w:rPr>
          <w:rFonts w:ascii="Arial" w:hAnsi="Arial" w:cs="Arial"/>
        </w:rPr>
        <w:t xml:space="preserve"> will be carried out and that these will be validated </w:t>
      </w:r>
      <w:r w:rsidR="00D75CA4">
        <w:rPr>
          <w:rFonts w:ascii="Arial" w:hAnsi="Arial" w:cs="Arial"/>
        </w:rPr>
        <w:t>by suitably qualified individuals or teams from other members of the group across a 5 year cycle.</w:t>
      </w:r>
    </w:p>
    <w:p w:rsidR="00D75CA4" w:rsidRDefault="00D75CA4" w:rsidP="00AA389B">
      <w:pPr>
        <w:ind w:left="720" w:hanging="720"/>
        <w:jc w:val="both"/>
        <w:rPr>
          <w:rFonts w:ascii="Arial" w:hAnsi="Arial" w:cs="Arial"/>
        </w:rPr>
      </w:pPr>
    </w:p>
    <w:p w:rsidR="000A6A0C" w:rsidRPr="003E1315" w:rsidRDefault="00D75CA4" w:rsidP="000A6A0C">
      <w:pPr>
        <w:ind w:left="720" w:hanging="720"/>
        <w:jc w:val="both"/>
        <w:rPr>
          <w:rFonts w:ascii="Arial" w:hAnsi="Arial" w:cs="Arial"/>
        </w:rPr>
      </w:pPr>
      <w:r>
        <w:rPr>
          <w:rFonts w:ascii="Arial" w:hAnsi="Arial" w:cs="Arial"/>
        </w:rPr>
        <w:t>1.13</w:t>
      </w:r>
      <w:r>
        <w:rPr>
          <w:rFonts w:ascii="Arial" w:hAnsi="Arial" w:cs="Arial"/>
        </w:rPr>
        <w:tab/>
      </w:r>
      <w:r w:rsidR="000A6A0C" w:rsidRPr="003E1315">
        <w:rPr>
          <w:rFonts w:ascii="Arial" w:hAnsi="Arial" w:cs="Arial"/>
        </w:rPr>
        <w:t xml:space="preserve">This review of internal audit at the London Borough of </w:t>
      </w:r>
      <w:r w:rsidR="000A6A0C">
        <w:rPr>
          <w:rFonts w:ascii="Arial" w:hAnsi="Arial" w:cs="Arial"/>
        </w:rPr>
        <w:t>Harrow</w:t>
      </w:r>
      <w:r w:rsidR="000A6A0C" w:rsidRPr="003E1315">
        <w:rPr>
          <w:rFonts w:ascii="Arial" w:hAnsi="Arial" w:cs="Arial"/>
        </w:rPr>
        <w:t xml:space="preserve"> has been carried out by </w:t>
      </w:r>
      <w:r w:rsidR="000A6A0C">
        <w:rPr>
          <w:rFonts w:ascii="Arial" w:hAnsi="Arial" w:cs="Arial"/>
        </w:rPr>
        <w:t>Alix Wilson from the South West London Audit Partnership.  Her</w:t>
      </w:r>
      <w:r w:rsidR="000A6A0C" w:rsidRPr="003E1315">
        <w:rPr>
          <w:rFonts w:ascii="Arial" w:hAnsi="Arial" w:cs="Arial"/>
        </w:rPr>
        <w:t xml:space="preserve"> qualifications for conducting this review are:</w:t>
      </w:r>
    </w:p>
    <w:p w:rsidR="000A6A0C" w:rsidRPr="003E1315" w:rsidRDefault="000A6A0C" w:rsidP="000A6A0C">
      <w:pPr>
        <w:ind w:left="720"/>
        <w:rPr>
          <w:rFonts w:ascii="Arial" w:hAnsi="Arial" w:cs="Arial"/>
        </w:rPr>
      </w:pPr>
      <w:r w:rsidRPr="003E1315">
        <w:rPr>
          <w:rFonts w:ascii="Arial" w:hAnsi="Arial" w:cs="Arial"/>
        </w:rPr>
        <w:t xml:space="preserve"> </w:t>
      </w:r>
    </w:p>
    <w:p w:rsidR="000A6A0C" w:rsidRPr="003E1315" w:rsidRDefault="000A6A0C" w:rsidP="000A6A0C">
      <w:pPr>
        <w:pStyle w:val="ListParagraph"/>
        <w:numPr>
          <w:ilvl w:val="0"/>
          <w:numId w:val="8"/>
        </w:numPr>
        <w:rPr>
          <w:rFonts w:ascii="Arial" w:hAnsi="Arial" w:cs="Arial"/>
        </w:rPr>
      </w:pPr>
      <w:r>
        <w:rPr>
          <w:rFonts w:ascii="Arial" w:hAnsi="Arial" w:cs="Arial"/>
        </w:rPr>
        <w:t>A member of the Chartered Institute of Public Finance and Accounting</w:t>
      </w:r>
      <w:r w:rsidRPr="003E1315">
        <w:rPr>
          <w:rFonts w:ascii="Arial" w:hAnsi="Arial" w:cs="Arial"/>
        </w:rPr>
        <w:t>;</w:t>
      </w:r>
    </w:p>
    <w:p w:rsidR="000A6A0C" w:rsidRDefault="000A6A0C" w:rsidP="000A6A0C">
      <w:pPr>
        <w:pStyle w:val="ListParagraph"/>
        <w:numPr>
          <w:ilvl w:val="0"/>
          <w:numId w:val="8"/>
        </w:numPr>
        <w:rPr>
          <w:rFonts w:ascii="Arial" w:hAnsi="Arial" w:cs="Arial"/>
        </w:rPr>
      </w:pPr>
      <w:r>
        <w:rPr>
          <w:rFonts w:ascii="Arial" w:hAnsi="Arial" w:cs="Arial"/>
        </w:rPr>
        <w:lastRenderedPageBreak/>
        <w:t>Member of the CIPFA Tis Editorial Board for Internal Audit</w:t>
      </w:r>
    </w:p>
    <w:p w:rsidR="000A6A0C" w:rsidRDefault="000A6A0C" w:rsidP="000A6A0C">
      <w:pPr>
        <w:pStyle w:val="ListParagraph"/>
        <w:numPr>
          <w:ilvl w:val="0"/>
          <w:numId w:val="8"/>
        </w:numPr>
        <w:rPr>
          <w:rFonts w:ascii="Arial" w:hAnsi="Arial" w:cs="Arial"/>
        </w:rPr>
      </w:pPr>
      <w:r>
        <w:rPr>
          <w:rFonts w:ascii="Arial" w:hAnsi="Arial" w:cs="Arial"/>
        </w:rPr>
        <w:t>Member of the London Audit Group Executive</w:t>
      </w:r>
    </w:p>
    <w:p w:rsidR="000A6A0C" w:rsidRPr="003E1315" w:rsidRDefault="000A6A0C" w:rsidP="000A6A0C">
      <w:pPr>
        <w:pStyle w:val="ListParagraph"/>
        <w:numPr>
          <w:ilvl w:val="0"/>
          <w:numId w:val="8"/>
        </w:numPr>
        <w:rPr>
          <w:rFonts w:ascii="Arial" w:hAnsi="Arial" w:cs="Arial"/>
        </w:rPr>
      </w:pPr>
      <w:r w:rsidRPr="003E1315">
        <w:rPr>
          <w:rFonts w:ascii="Arial" w:hAnsi="Arial" w:cs="Arial"/>
        </w:rPr>
        <w:t xml:space="preserve">More than </w:t>
      </w:r>
      <w:r>
        <w:rPr>
          <w:rFonts w:ascii="Arial" w:hAnsi="Arial" w:cs="Arial"/>
        </w:rPr>
        <w:t>2</w:t>
      </w:r>
      <w:r w:rsidRPr="003E1315">
        <w:rPr>
          <w:rFonts w:ascii="Arial" w:hAnsi="Arial" w:cs="Arial"/>
        </w:rPr>
        <w:t>0 years’ experience of public sector internal audit, including 12 years as a local government head of internal audit</w:t>
      </w:r>
      <w:r>
        <w:rPr>
          <w:rFonts w:ascii="Arial" w:hAnsi="Arial" w:cs="Arial"/>
        </w:rPr>
        <w:t xml:space="preserve"> of which 5 years have been running a shared audit service</w:t>
      </w:r>
      <w:r w:rsidRPr="003E1315">
        <w:rPr>
          <w:rFonts w:ascii="Arial" w:hAnsi="Arial" w:cs="Arial"/>
        </w:rPr>
        <w:t xml:space="preserve">; </w:t>
      </w:r>
    </w:p>
    <w:p w:rsidR="000A6A0C" w:rsidRPr="003E1315" w:rsidRDefault="000A6A0C" w:rsidP="000A6A0C">
      <w:pPr>
        <w:pStyle w:val="ListParagraph"/>
        <w:ind w:left="1440"/>
        <w:rPr>
          <w:rFonts w:ascii="Arial" w:hAnsi="Arial" w:cs="Arial"/>
        </w:rPr>
      </w:pPr>
    </w:p>
    <w:p w:rsidR="00D75CA4" w:rsidRDefault="00D75CA4" w:rsidP="00D75CA4">
      <w:pPr>
        <w:ind w:left="720" w:hanging="720"/>
        <w:jc w:val="both"/>
        <w:rPr>
          <w:rFonts w:ascii="Arial" w:hAnsi="Arial" w:cs="Arial"/>
        </w:rPr>
      </w:pPr>
      <w:r>
        <w:rPr>
          <w:rFonts w:ascii="Arial" w:hAnsi="Arial" w:cs="Arial"/>
        </w:rPr>
        <w:br w:type="page"/>
      </w:r>
    </w:p>
    <w:p w:rsidR="00D75CA4" w:rsidRPr="00650B00" w:rsidRDefault="00AD7985" w:rsidP="00AA389B">
      <w:pPr>
        <w:ind w:left="720" w:hanging="720"/>
        <w:jc w:val="both"/>
        <w:rPr>
          <w:rFonts w:ascii="Arial" w:hAnsi="Arial" w:cs="Arial"/>
          <w:b/>
        </w:rPr>
      </w:pPr>
      <w:r w:rsidRPr="00650B00">
        <w:rPr>
          <w:rFonts w:ascii="Arial" w:hAnsi="Arial" w:cs="Arial"/>
          <w:b/>
        </w:rPr>
        <w:lastRenderedPageBreak/>
        <w:t>2</w:t>
      </w:r>
      <w:r w:rsidRPr="00650B00">
        <w:rPr>
          <w:rFonts w:ascii="Arial" w:hAnsi="Arial" w:cs="Arial"/>
          <w:b/>
        </w:rPr>
        <w:tab/>
        <w:t>Summary</w:t>
      </w:r>
      <w:r w:rsidR="00123428">
        <w:rPr>
          <w:rFonts w:ascii="Arial" w:hAnsi="Arial" w:cs="Arial"/>
          <w:b/>
        </w:rPr>
        <w:t xml:space="preserve"> &amp; Conclusion</w:t>
      </w:r>
    </w:p>
    <w:p w:rsidR="00AD7985" w:rsidRDefault="00AD7985" w:rsidP="00AA389B">
      <w:pPr>
        <w:ind w:left="720" w:hanging="720"/>
        <w:jc w:val="both"/>
        <w:rPr>
          <w:rFonts w:ascii="Arial" w:hAnsi="Arial" w:cs="Arial"/>
        </w:rPr>
      </w:pPr>
    </w:p>
    <w:p w:rsidR="00650B00" w:rsidRDefault="00AD7985" w:rsidP="00650B00">
      <w:pPr>
        <w:ind w:left="720" w:hanging="720"/>
        <w:jc w:val="both"/>
        <w:rPr>
          <w:rFonts w:ascii="Arial" w:hAnsi="Arial" w:cs="Arial"/>
        </w:rPr>
      </w:pPr>
      <w:r>
        <w:rPr>
          <w:rFonts w:ascii="Arial" w:hAnsi="Arial" w:cs="Arial"/>
        </w:rPr>
        <w:t>2.1</w:t>
      </w:r>
      <w:r>
        <w:rPr>
          <w:rFonts w:ascii="Arial" w:hAnsi="Arial" w:cs="Arial"/>
        </w:rPr>
        <w:tab/>
      </w:r>
      <w:r w:rsidR="00650B00">
        <w:rPr>
          <w:rFonts w:ascii="Arial" w:hAnsi="Arial" w:cs="Arial"/>
        </w:rPr>
        <w:t xml:space="preserve">The review was based on the self-assessment conducted by the </w:t>
      </w:r>
      <w:r w:rsidR="000A6A0C">
        <w:rPr>
          <w:rFonts w:ascii="Arial" w:hAnsi="Arial" w:cs="Arial"/>
        </w:rPr>
        <w:t xml:space="preserve">Head </w:t>
      </w:r>
      <w:r w:rsidR="00962050">
        <w:rPr>
          <w:rFonts w:ascii="Arial" w:hAnsi="Arial" w:cs="Arial"/>
        </w:rPr>
        <w:t>Internal Audit and the Internal Audit Team</w:t>
      </w:r>
      <w:r w:rsidR="00650B00">
        <w:rPr>
          <w:rFonts w:ascii="Arial" w:hAnsi="Arial" w:cs="Arial"/>
        </w:rPr>
        <w:t xml:space="preserve">, with evidence provided to support its conclusions.  In addition, interviews were conducted with some of internal audit’s key stakeholders: </w:t>
      </w:r>
      <w:r w:rsidR="000A6A0C">
        <w:rPr>
          <w:rFonts w:ascii="Arial" w:hAnsi="Arial" w:cs="Arial"/>
        </w:rPr>
        <w:t>The Chief Executive, Divisional Director of Education Services, Corporate Director Resources &amp; Commercial</w:t>
      </w:r>
      <w:r w:rsidR="0068368A">
        <w:rPr>
          <w:rFonts w:ascii="Arial" w:hAnsi="Arial" w:cs="Arial"/>
        </w:rPr>
        <w:t xml:space="preserve">, </w:t>
      </w:r>
      <w:r w:rsidR="000A6A0C">
        <w:rPr>
          <w:rFonts w:ascii="Arial" w:hAnsi="Arial" w:cs="Arial"/>
        </w:rPr>
        <w:t>Director of Finance (S151 Officer)</w:t>
      </w:r>
      <w:r w:rsidR="0068368A">
        <w:rPr>
          <w:rFonts w:ascii="Arial" w:hAnsi="Arial" w:cs="Arial"/>
        </w:rPr>
        <w:t xml:space="preserve"> and the Chair of the Governance, Audit, Risk Management and Standards (GARMS) Committee</w:t>
      </w:r>
      <w:r w:rsidR="000A6A0C">
        <w:rPr>
          <w:rFonts w:ascii="Arial" w:hAnsi="Arial" w:cs="Arial"/>
        </w:rPr>
        <w:t xml:space="preserve">. </w:t>
      </w:r>
      <w:r w:rsidR="00650B00">
        <w:rPr>
          <w:rFonts w:ascii="Arial" w:hAnsi="Arial" w:cs="Arial"/>
        </w:rPr>
        <w:t xml:space="preserve">Also available were the customer satisfaction </w:t>
      </w:r>
      <w:r w:rsidR="000D6D1F">
        <w:rPr>
          <w:rFonts w:ascii="Arial" w:hAnsi="Arial" w:cs="Arial"/>
        </w:rPr>
        <w:t>surveys from</w:t>
      </w:r>
      <w:r w:rsidR="0068368A">
        <w:rPr>
          <w:rFonts w:ascii="Arial" w:hAnsi="Arial" w:cs="Arial"/>
        </w:rPr>
        <w:t xml:space="preserve"> a number of Chief Officers and </w:t>
      </w:r>
      <w:r w:rsidR="00650B00">
        <w:rPr>
          <w:rFonts w:ascii="Arial" w:hAnsi="Arial" w:cs="Arial"/>
        </w:rPr>
        <w:t xml:space="preserve">senior managers. </w:t>
      </w:r>
    </w:p>
    <w:p w:rsidR="00123428" w:rsidRDefault="00123428" w:rsidP="00650B00">
      <w:pPr>
        <w:ind w:left="720" w:hanging="720"/>
        <w:jc w:val="both"/>
        <w:rPr>
          <w:rFonts w:ascii="Arial" w:hAnsi="Arial" w:cs="Arial"/>
        </w:rPr>
      </w:pPr>
    </w:p>
    <w:p w:rsidR="00123428" w:rsidRDefault="006C5FB7" w:rsidP="00650B00">
      <w:pPr>
        <w:ind w:left="720" w:hanging="720"/>
        <w:jc w:val="both"/>
        <w:rPr>
          <w:rFonts w:ascii="Arial" w:hAnsi="Arial" w:cs="Arial"/>
        </w:rPr>
      </w:pPr>
      <w:r>
        <w:rPr>
          <w:rFonts w:ascii="Arial" w:hAnsi="Arial" w:cs="Arial"/>
        </w:rPr>
        <w:t>2.2</w:t>
      </w:r>
      <w:r>
        <w:rPr>
          <w:rFonts w:ascii="Arial" w:hAnsi="Arial" w:cs="Arial"/>
        </w:rPr>
        <w:tab/>
        <w:t>The co-operation of the H</w:t>
      </w:r>
      <w:r w:rsidR="00692910">
        <w:rPr>
          <w:rFonts w:ascii="Arial" w:hAnsi="Arial" w:cs="Arial"/>
        </w:rPr>
        <w:t>ead of Internal Audit (H</w:t>
      </w:r>
      <w:r>
        <w:rPr>
          <w:rFonts w:ascii="Arial" w:hAnsi="Arial" w:cs="Arial"/>
        </w:rPr>
        <w:t>IA</w:t>
      </w:r>
      <w:r w:rsidR="00692910">
        <w:rPr>
          <w:rFonts w:ascii="Arial" w:hAnsi="Arial" w:cs="Arial"/>
        </w:rPr>
        <w:t>)</w:t>
      </w:r>
      <w:r w:rsidR="00123428">
        <w:rPr>
          <w:rFonts w:ascii="Arial" w:hAnsi="Arial" w:cs="Arial"/>
        </w:rPr>
        <w:t xml:space="preserve"> and members of the internal audit team in providing every bit of information asked for, as well as those</w:t>
      </w:r>
      <w:r w:rsidR="00924219">
        <w:rPr>
          <w:rFonts w:ascii="Arial" w:hAnsi="Arial" w:cs="Arial"/>
        </w:rPr>
        <w:t xml:space="preserve"> stakeholders</w:t>
      </w:r>
      <w:r w:rsidR="00123428">
        <w:rPr>
          <w:rFonts w:ascii="Arial" w:hAnsi="Arial" w:cs="Arial"/>
        </w:rPr>
        <w:t xml:space="preserve"> that made themselves available for interview, was appreciated and made it possible to obtain a thorough view of internal audit’s practices and of its contribution to the organisation.</w:t>
      </w:r>
    </w:p>
    <w:p w:rsidR="00123428" w:rsidRDefault="00123428" w:rsidP="00650B00">
      <w:pPr>
        <w:ind w:left="720" w:hanging="720"/>
        <w:jc w:val="both"/>
        <w:rPr>
          <w:rFonts w:ascii="Arial" w:hAnsi="Arial" w:cs="Arial"/>
        </w:rPr>
      </w:pPr>
    </w:p>
    <w:p w:rsidR="00123428" w:rsidRDefault="00123428" w:rsidP="00650B00">
      <w:pPr>
        <w:ind w:left="720" w:hanging="720"/>
        <w:jc w:val="both"/>
        <w:rPr>
          <w:rFonts w:ascii="Arial" w:hAnsi="Arial" w:cs="Arial"/>
        </w:rPr>
      </w:pPr>
      <w:r>
        <w:rPr>
          <w:rFonts w:ascii="Arial" w:hAnsi="Arial" w:cs="Arial"/>
        </w:rPr>
        <w:t>2.3</w:t>
      </w:r>
      <w:r>
        <w:rPr>
          <w:rFonts w:ascii="Arial" w:hAnsi="Arial" w:cs="Arial"/>
        </w:rPr>
        <w:tab/>
      </w:r>
      <w:r w:rsidRPr="00123428">
        <w:rPr>
          <w:rFonts w:ascii="Arial" w:hAnsi="Arial" w:cs="Arial"/>
          <w:b/>
        </w:rPr>
        <w:t xml:space="preserve">Based on the work carried out it can be confirmed that internal audit at the </w:t>
      </w:r>
      <w:r w:rsidR="00993DBE">
        <w:rPr>
          <w:rFonts w:ascii="Arial" w:hAnsi="Arial" w:cs="Arial"/>
          <w:b/>
        </w:rPr>
        <w:t>Harrow Council</w:t>
      </w:r>
      <w:r w:rsidRPr="00123428">
        <w:rPr>
          <w:rFonts w:ascii="Arial" w:hAnsi="Arial" w:cs="Arial"/>
          <w:b/>
        </w:rPr>
        <w:t xml:space="preserve"> </w:t>
      </w:r>
      <w:r w:rsidR="00187371">
        <w:rPr>
          <w:rFonts w:ascii="Arial" w:hAnsi="Arial" w:cs="Arial"/>
          <w:b/>
        </w:rPr>
        <w:t>GENERALLY CONFORMS</w:t>
      </w:r>
      <w:r w:rsidRPr="00123428">
        <w:rPr>
          <w:rFonts w:ascii="Arial" w:hAnsi="Arial" w:cs="Arial"/>
          <w:b/>
        </w:rPr>
        <w:t xml:space="preserve"> with the UK Public Sector Internal Audit Standards.</w:t>
      </w:r>
      <w:r>
        <w:rPr>
          <w:rFonts w:ascii="Arial" w:hAnsi="Arial" w:cs="Arial"/>
        </w:rPr>
        <w:t xml:space="preserve"> This outcome should be reflected in the H</w:t>
      </w:r>
      <w:r w:rsidR="00962050">
        <w:rPr>
          <w:rFonts w:ascii="Arial" w:hAnsi="Arial" w:cs="Arial"/>
        </w:rPr>
        <w:t>I</w:t>
      </w:r>
      <w:r>
        <w:rPr>
          <w:rFonts w:ascii="Arial" w:hAnsi="Arial" w:cs="Arial"/>
        </w:rPr>
        <w:t xml:space="preserve">A’s annual </w:t>
      </w:r>
      <w:r w:rsidR="006C5FB7">
        <w:rPr>
          <w:rFonts w:ascii="Arial" w:hAnsi="Arial" w:cs="Arial"/>
        </w:rPr>
        <w:t>opinion report for the year 2016/17</w:t>
      </w:r>
      <w:r>
        <w:rPr>
          <w:rFonts w:ascii="Arial" w:hAnsi="Arial" w:cs="Arial"/>
        </w:rPr>
        <w:t>.</w:t>
      </w:r>
    </w:p>
    <w:p w:rsidR="00123428" w:rsidRDefault="00123428" w:rsidP="00650B00">
      <w:pPr>
        <w:ind w:left="720" w:hanging="720"/>
        <w:jc w:val="both"/>
        <w:rPr>
          <w:rFonts w:ascii="Arial" w:hAnsi="Arial" w:cs="Arial"/>
        </w:rPr>
      </w:pPr>
    </w:p>
    <w:p w:rsidR="00123428" w:rsidRDefault="00123428" w:rsidP="00650B00">
      <w:pPr>
        <w:ind w:left="720" w:hanging="720"/>
        <w:jc w:val="both"/>
        <w:rPr>
          <w:rFonts w:ascii="Arial" w:hAnsi="Arial" w:cs="Arial"/>
        </w:rPr>
      </w:pPr>
      <w:r>
        <w:rPr>
          <w:rFonts w:ascii="Arial" w:hAnsi="Arial" w:cs="Arial"/>
        </w:rPr>
        <w:t>2.4</w:t>
      </w:r>
      <w:r>
        <w:rPr>
          <w:rFonts w:ascii="Arial" w:hAnsi="Arial" w:cs="Arial"/>
        </w:rPr>
        <w:tab/>
      </w:r>
      <w:r w:rsidR="000A6A0C" w:rsidRPr="003E1315">
        <w:rPr>
          <w:rFonts w:ascii="Arial" w:hAnsi="Arial" w:cs="Arial"/>
        </w:rPr>
        <w:t>There are no major or significant observations that need to be addressed. There are some minor observations and these are set out in section 3 below.</w:t>
      </w:r>
    </w:p>
    <w:p w:rsidR="00924219" w:rsidRDefault="00924219" w:rsidP="00650B00">
      <w:pPr>
        <w:ind w:left="720" w:hanging="720"/>
        <w:jc w:val="both"/>
        <w:rPr>
          <w:rFonts w:ascii="Arial" w:hAnsi="Arial" w:cs="Arial"/>
        </w:rPr>
      </w:pPr>
    </w:p>
    <w:p w:rsidR="00924219" w:rsidRDefault="00D7477C" w:rsidP="00650B00">
      <w:pPr>
        <w:ind w:left="720" w:hanging="720"/>
        <w:jc w:val="both"/>
        <w:rPr>
          <w:rFonts w:ascii="Arial" w:hAnsi="Arial" w:cs="Arial"/>
        </w:rPr>
      </w:pPr>
      <w:r>
        <w:rPr>
          <w:rFonts w:ascii="Arial" w:hAnsi="Arial" w:cs="Arial"/>
        </w:rPr>
        <w:t>2.6</w:t>
      </w:r>
      <w:r>
        <w:rPr>
          <w:rFonts w:ascii="Arial" w:hAnsi="Arial" w:cs="Arial"/>
        </w:rPr>
        <w:tab/>
        <w:t>Definitions of the levels of conformance with the standards are contained in the following table:</w:t>
      </w:r>
    </w:p>
    <w:p w:rsidR="00924219" w:rsidRPr="00D7477C" w:rsidRDefault="00924219" w:rsidP="00650B00">
      <w:pPr>
        <w:ind w:left="720" w:hanging="720"/>
        <w:jc w:val="both"/>
        <w:rPr>
          <w:rFonts w:ascii="Arial" w:hAnsi="Arial" w:cs="Arial"/>
          <w:sz w:val="16"/>
          <w:szCs w:val="16"/>
        </w:rPr>
      </w:pPr>
    </w:p>
    <w:tbl>
      <w:tblPr>
        <w:tblStyle w:val="TableGrid"/>
        <w:tblW w:w="0" w:type="auto"/>
        <w:tblInd w:w="720" w:type="dxa"/>
        <w:tblLook w:val="04A0" w:firstRow="1" w:lastRow="0" w:firstColumn="1" w:lastColumn="0" w:noHBand="0" w:noVBand="1"/>
      </w:tblPr>
      <w:tblGrid>
        <w:gridCol w:w="1515"/>
        <w:gridCol w:w="7051"/>
      </w:tblGrid>
      <w:tr w:rsidR="000152CA" w:rsidRPr="00FB4C70" w:rsidTr="000152CA">
        <w:tc>
          <w:tcPr>
            <w:tcW w:w="8566" w:type="dxa"/>
            <w:gridSpan w:val="2"/>
          </w:tcPr>
          <w:p w:rsidR="000152CA" w:rsidRPr="00FB4C70" w:rsidRDefault="000152CA" w:rsidP="000152CA">
            <w:pPr>
              <w:jc w:val="center"/>
              <w:rPr>
                <w:rFonts w:ascii="Arial" w:hAnsi="Arial" w:cs="Arial"/>
                <w:b/>
                <w:sz w:val="22"/>
                <w:szCs w:val="22"/>
              </w:rPr>
            </w:pPr>
            <w:r w:rsidRPr="00FB4C70">
              <w:rPr>
                <w:rFonts w:ascii="Arial" w:hAnsi="Arial" w:cs="Arial"/>
                <w:b/>
                <w:sz w:val="22"/>
                <w:szCs w:val="22"/>
              </w:rPr>
              <w:t>DEFINITIONS</w:t>
            </w:r>
          </w:p>
        </w:tc>
      </w:tr>
      <w:tr w:rsidR="000152CA" w:rsidRPr="00FB4C70" w:rsidTr="00FB4C70">
        <w:tc>
          <w:tcPr>
            <w:tcW w:w="1515" w:type="dxa"/>
            <w:vAlign w:val="center"/>
          </w:tcPr>
          <w:p w:rsidR="000152CA" w:rsidRPr="00B178AE" w:rsidRDefault="00D7477C" w:rsidP="00FB4C70">
            <w:pPr>
              <w:rPr>
                <w:rFonts w:ascii="Arial" w:hAnsi="Arial" w:cs="Arial"/>
                <w:sz w:val="22"/>
                <w:szCs w:val="22"/>
              </w:rPr>
            </w:pPr>
            <w:r w:rsidRPr="00B178AE">
              <w:rPr>
                <w:rFonts w:ascii="Arial" w:hAnsi="Arial" w:cs="Arial"/>
                <w:sz w:val="22"/>
                <w:szCs w:val="22"/>
              </w:rPr>
              <w:t>Fully Conforms</w:t>
            </w:r>
          </w:p>
        </w:tc>
        <w:tc>
          <w:tcPr>
            <w:tcW w:w="7051" w:type="dxa"/>
          </w:tcPr>
          <w:p w:rsidR="000152CA" w:rsidRPr="00FB4C70" w:rsidRDefault="00D7477C" w:rsidP="00D7477C">
            <w:pPr>
              <w:pStyle w:val="ListBullet"/>
              <w:tabs>
                <w:tab w:val="clear" w:pos="1191"/>
              </w:tabs>
              <w:spacing w:after="0"/>
              <w:ind w:left="0" w:firstLine="0"/>
              <w:rPr>
                <w:rFonts w:ascii="Arial" w:hAnsi="Arial" w:cs="Arial"/>
                <w:szCs w:val="22"/>
              </w:rPr>
            </w:pPr>
            <w:r w:rsidRPr="00FB4C70">
              <w:rPr>
                <w:rFonts w:ascii="Arial" w:hAnsi="Arial" w:cs="Arial"/>
                <w:szCs w:val="22"/>
              </w:rPr>
              <w:t>The internal audit service fully complies with each of the statements of good practice in the assessment.</w:t>
            </w:r>
          </w:p>
        </w:tc>
      </w:tr>
      <w:tr w:rsidR="000152CA" w:rsidRPr="00FB4C70" w:rsidTr="00B178AE">
        <w:tc>
          <w:tcPr>
            <w:tcW w:w="1515" w:type="dxa"/>
            <w:shd w:val="clear" w:color="auto" w:fill="D9D9D9" w:themeFill="background1" w:themeFillShade="D9"/>
            <w:vAlign w:val="center"/>
          </w:tcPr>
          <w:p w:rsidR="000152CA" w:rsidRPr="00FB4C70" w:rsidRDefault="00D7477C" w:rsidP="00FB4C70">
            <w:pPr>
              <w:rPr>
                <w:rFonts w:ascii="Arial" w:hAnsi="Arial" w:cs="Arial"/>
                <w:b/>
                <w:sz w:val="22"/>
                <w:szCs w:val="22"/>
              </w:rPr>
            </w:pPr>
            <w:r w:rsidRPr="00FB4C70">
              <w:rPr>
                <w:rFonts w:ascii="Arial" w:hAnsi="Arial" w:cs="Arial"/>
                <w:b/>
                <w:sz w:val="22"/>
                <w:szCs w:val="22"/>
              </w:rPr>
              <w:t>Generally Conforms</w:t>
            </w:r>
          </w:p>
        </w:tc>
        <w:tc>
          <w:tcPr>
            <w:tcW w:w="7051" w:type="dxa"/>
            <w:shd w:val="clear" w:color="auto" w:fill="D9D9D9" w:themeFill="background1" w:themeFillShade="D9"/>
          </w:tcPr>
          <w:p w:rsidR="000152CA" w:rsidRPr="00FB4C70" w:rsidRDefault="00D7477C" w:rsidP="00D7477C">
            <w:pPr>
              <w:jc w:val="both"/>
              <w:rPr>
                <w:rFonts w:ascii="Arial" w:hAnsi="Arial" w:cs="Arial"/>
                <w:sz w:val="22"/>
                <w:szCs w:val="22"/>
              </w:rPr>
            </w:pPr>
            <w:r w:rsidRPr="00FB4C70">
              <w:rPr>
                <w:rFonts w:ascii="Arial" w:hAnsi="Arial" w:cs="Arial"/>
                <w:sz w:val="22"/>
                <w:szCs w:val="22"/>
              </w:rPr>
              <w:t xml:space="preserve">The relevant structures, policies, and procedures of the internal audit service, as well as the processes by which they are applied, at least comply with the requirements of the section in all material respects. </w:t>
            </w:r>
          </w:p>
        </w:tc>
      </w:tr>
      <w:tr w:rsidR="000152CA" w:rsidRPr="00FB4C70" w:rsidTr="00FB4C70">
        <w:tc>
          <w:tcPr>
            <w:tcW w:w="1515" w:type="dxa"/>
            <w:vAlign w:val="center"/>
          </w:tcPr>
          <w:p w:rsidR="000152CA" w:rsidRPr="00B178AE" w:rsidRDefault="00D7477C" w:rsidP="00FB4C70">
            <w:pPr>
              <w:rPr>
                <w:rFonts w:ascii="Arial" w:hAnsi="Arial" w:cs="Arial"/>
                <w:sz w:val="22"/>
                <w:szCs w:val="22"/>
              </w:rPr>
            </w:pPr>
            <w:r w:rsidRPr="00B178AE">
              <w:rPr>
                <w:rFonts w:ascii="Arial" w:hAnsi="Arial" w:cs="Arial"/>
                <w:sz w:val="22"/>
                <w:szCs w:val="22"/>
              </w:rPr>
              <w:t>Partially Conforms</w:t>
            </w:r>
          </w:p>
        </w:tc>
        <w:tc>
          <w:tcPr>
            <w:tcW w:w="7051" w:type="dxa"/>
          </w:tcPr>
          <w:p w:rsidR="000152CA" w:rsidRPr="00FB4C70" w:rsidRDefault="00D7477C" w:rsidP="00D7477C">
            <w:pPr>
              <w:pStyle w:val="ListBullet"/>
              <w:tabs>
                <w:tab w:val="clear" w:pos="1191"/>
              </w:tabs>
              <w:spacing w:after="0"/>
              <w:ind w:left="0" w:firstLine="0"/>
              <w:rPr>
                <w:rFonts w:ascii="Arial" w:hAnsi="Arial" w:cs="Arial"/>
                <w:szCs w:val="22"/>
              </w:rPr>
            </w:pPr>
            <w:r w:rsidRPr="00FB4C70">
              <w:rPr>
                <w:rFonts w:ascii="Arial" w:hAnsi="Arial" w:cs="Arial"/>
                <w:szCs w:val="22"/>
              </w:rPr>
              <w:t xml:space="preserve">The internal audit service falls short of achieving some elements of good practice but is aware of the areas for development. These will usually represent significant opportunities for improvement in delivering effective internal audit. </w:t>
            </w:r>
          </w:p>
        </w:tc>
      </w:tr>
      <w:tr w:rsidR="000152CA" w:rsidRPr="00FB4C70" w:rsidTr="00FB4C70">
        <w:tc>
          <w:tcPr>
            <w:tcW w:w="1515" w:type="dxa"/>
            <w:vAlign w:val="center"/>
          </w:tcPr>
          <w:p w:rsidR="000152CA" w:rsidRPr="00B178AE" w:rsidRDefault="00D7477C" w:rsidP="00FB4C70">
            <w:pPr>
              <w:rPr>
                <w:rFonts w:ascii="Arial" w:hAnsi="Arial" w:cs="Arial"/>
                <w:sz w:val="22"/>
                <w:szCs w:val="22"/>
              </w:rPr>
            </w:pPr>
            <w:r w:rsidRPr="00B178AE">
              <w:rPr>
                <w:rFonts w:ascii="Arial" w:hAnsi="Arial" w:cs="Arial"/>
                <w:sz w:val="22"/>
                <w:szCs w:val="22"/>
              </w:rPr>
              <w:t>Does Not Conform</w:t>
            </w:r>
          </w:p>
        </w:tc>
        <w:tc>
          <w:tcPr>
            <w:tcW w:w="7051" w:type="dxa"/>
          </w:tcPr>
          <w:p w:rsidR="000152CA" w:rsidRPr="00FB4C70" w:rsidRDefault="00D7477C" w:rsidP="00D7477C">
            <w:pPr>
              <w:pStyle w:val="ListBullet"/>
              <w:tabs>
                <w:tab w:val="clear" w:pos="1191"/>
              </w:tabs>
              <w:spacing w:after="0"/>
              <w:ind w:left="0" w:firstLine="0"/>
              <w:rPr>
                <w:rFonts w:ascii="Arial" w:hAnsi="Arial" w:cs="Arial"/>
                <w:szCs w:val="22"/>
              </w:rPr>
            </w:pPr>
            <w:r w:rsidRPr="00FB4C70">
              <w:rPr>
                <w:rFonts w:ascii="Arial" w:hAnsi="Arial" w:cs="Arial"/>
                <w:szCs w:val="22"/>
              </w:rPr>
              <w:t xml:space="preserve">The internal audit service is not aware of, is not making efforts to comply with, or is failing to achieve many/all of the objectives and good practice statements within the section or sub-section. These deficiencies will usually have a significant negative impact on the internal audit service’s effectiveness and its potential to add value to the organisation. These will represent significant opportunities for improvement, potentially including actions by senior management or the audit committee. </w:t>
            </w:r>
          </w:p>
        </w:tc>
      </w:tr>
    </w:tbl>
    <w:p w:rsidR="000D6D1F" w:rsidRDefault="000D6D1F" w:rsidP="00650B00">
      <w:pPr>
        <w:ind w:left="720" w:hanging="720"/>
        <w:jc w:val="both"/>
        <w:rPr>
          <w:rFonts w:ascii="Arial" w:hAnsi="Arial" w:cs="Arial"/>
          <w:b/>
        </w:rPr>
      </w:pPr>
    </w:p>
    <w:p w:rsidR="00924219" w:rsidRPr="00924219" w:rsidRDefault="00924219" w:rsidP="00650B00">
      <w:pPr>
        <w:ind w:left="720" w:hanging="720"/>
        <w:jc w:val="both"/>
        <w:rPr>
          <w:rFonts w:ascii="Arial" w:hAnsi="Arial" w:cs="Arial"/>
          <w:b/>
        </w:rPr>
      </w:pPr>
      <w:r w:rsidRPr="00924219">
        <w:rPr>
          <w:rFonts w:ascii="Arial" w:hAnsi="Arial" w:cs="Arial"/>
          <w:b/>
        </w:rPr>
        <w:t>3.</w:t>
      </w:r>
      <w:r w:rsidRPr="00924219">
        <w:rPr>
          <w:rFonts w:ascii="Arial" w:hAnsi="Arial" w:cs="Arial"/>
          <w:b/>
        </w:rPr>
        <w:tab/>
        <w:t>Minor Observations</w:t>
      </w:r>
    </w:p>
    <w:p w:rsidR="00924219" w:rsidRPr="00924219" w:rsidRDefault="00924219" w:rsidP="00650B00">
      <w:pPr>
        <w:ind w:left="720" w:hanging="720"/>
        <w:jc w:val="both"/>
        <w:rPr>
          <w:rFonts w:ascii="Arial" w:hAnsi="Arial" w:cs="Arial"/>
        </w:rPr>
      </w:pPr>
    </w:p>
    <w:p w:rsidR="004A4923" w:rsidRPr="004A4923" w:rsidRDefault="004A4923" w:rsidP="00650B00">
      <w:pPr>
        <w:ind w:left="720" w:hanging="720"/>
        <w:jc w:val="both"/>
        <w:rPr>
          <w:rFonts w:ascii="Arial" w:hAnsi="Arial" w:cs="Arial"/>
          <w:b/>
        </w:rPr>
      </w:pPr>
      <w:r>
        <w:rPr>
          <w:rFonts w:ascii="Arial" w:hAnsi="Arial" w:cs="Arial"/>
        </w:rPr>
        <w:tab/>
      </w:r>
      <w:r>
        <w:rPr>
          <w:rFonts w:ascii="Arial" w:hAnsi="Arial" w:cs="Arial"/>
          <w:b/>
        </w:rPr>
        <w:t>Public Sector Internal Audit Standards</w:t>
      </w:r>
    </w:p>
    <w:p w:rsidR="00B90D80" w:rsidRPr="008E0213" w:rsidRDefault="00A61CC8" w:rsidP="00650B00">
      <w:pPr>
        <w:ind w:left="720" w:hanging="720"/>
        <w:jc w:val="both"/>
        <w:rPr>
          <w:rFonts w:ascii="Arial" w:hAnsi="Arial" w:cs="Arial"/>
          <w:b/>
        </w:rPr>
      </w:pPr>
      <w:r w:rsidRPr="008E0213">
        <w:rPr>
          <w:rFonts w:ascii="Arial" w:hAnsi="Arial" w:cs="Arial"/>
          <w:b/>
        </w:rPr>
        <w:lastRenderedPageBreak/>
        <w:t>3.1</w:t>
      </w:r>
      <w:r w:rsidRPr="008E0213">
        <w:rPr>
          <w:rFonts w:ascii="Arial" w:hAnsi="Arial" w:cs="Arial"/>
          <w:b/>
        </w:rPr>
        <w:tab/>
      </w:r>
      <w:r w:rsidR="00B90D80" w:rsidRPr="008E0213">
        <w:rPr>
          <w:rFonts w:ascii="Arial" w:hAnsi="Arial" w:cs="Arial"/>
          <w:b/>
        </w:rPr>
        <w:t>Standard 1300 Quality Assurance and Improvement Programme</w:t>
      </w:r>
    </w:p>
    <w:p w:rsidR="00B90D80" w:rsidRDefault="00B90D80" w:rsidP="00650B00">
      <w:pPr>
        <w:ind w:left="720" w:hanging="720"/>
        <w:jc w:val="both"/>
        <w:rPr>
          <w:rFonts w:ascii="Arial" w:hAnsi="Arial" w:cs="Arial"/>
        </w:rPr>
      </w:pPr>
    </w:p>
    <w:p w:rsidR="00B90D80" w:rsidRDefault="00B90D80" w:rsidP="004A7DC2">
      <w:pPr>
        <w:ind w:left="720" w:hanging="11"/>
        <w:jc w:val="both"/>
        <w:rPr>
          <w:rFonts w:ascii="Arial" w:hAnsi="Arial" w:cs="Arial"/>
        </w:rPr>
      </w:pPr>
      <w:r>
        <w:rPr>
          <w:rFonts w:ascii="Arial" w:hAnsi="Arial" w:cs="Arial"/>
        </w:rPr>
        <w:t>The review identified that results of any self assessments undertaken against the PSIAS have not been communicated to the GARMS or progress against the improvement plan reported on.</w:t>
      </w:r>
    </w:p>
    <w:p w:rsidR="00B90D80" w:rsidRDefault="00B90D80" w:rsidP="004A7DC2">
      <w:pPr>
        <w:ind w:left="720" w:hanging="11"/>
        <w:jc w:val="both"/>
        <w:rPr>
          <w:rFonts w:ascii="Arial" w:hAnsi="Arial" w:cs="Arial"/>
        </w:rPr>
      </w:pPr>
    </w:p>
    <w:p w:rsidR="00B90D80" w:rsidRDefault="0057787E" w:rsidP="004A7DC2">
      <w:pPr>
        <w:ind w:left="720" w:hanging="11"/>
        <w:jc w:val="both"/>
        <w:rPr>
          <w:rFonts w:ascii="Arial" w:hAnsi="Arial" w:cs="Arial"/>
          <w:b/>
        </w:rPr>
      </w:pPr>
      <w:r w:rsidRPr="008E0213">
        <w:rPr>
          <w:rFonts w:ascii="Arial" w:hAnsi="Arial" w:cs="Arial"/>
          <w:b/>
        </w:rPr>
        <w:t>In accordance with Standard 1320, t</w:t>
      </w:r>
      <w:r w:rsidR="00B90D80" w:rsidRPr="008E0213">
        <w:rPr>
          <w:rFonts w:ascii="Arial" w:hAnsi="Arial" w:cs="Arial"/>
          <w:b/>
        </w:rPr>
        <w:t>he self</w:t>
      </w:r>
      <w:r w:rsidR="003C21A1">
        <w:rPr>
          <w:rFonts w:ascii="Arial" w:hAnsi="Arial" w:cs="Arial"/>
          <w:b/>
        </w:rPr>
        <w:t>-</w:t>
      </w:r>
      <w:r w:rsidR="00B90D80" w:rsidRPr="008E0213">
        <w:rPr>
          <w:rFonts w:ascii="Arial" w:hAnsi="Arial" w:cs="Arial"/>
          <w:b/>
        </w:rPr>
        <w:t>assessment and/or any external assessment again</w:t>
      </w:r>
      <w:r w:rsidR="004A7DC2" w:rsidRPr="008E0213">
        <w:rPr>
          <w:rFonts w:ascii="Arial" w:hAnsi="Arial" w:cs="Arial"/>
          <w:b/>
        </w:rPr>
        <w:t xml:space="preserve">st the PSIAS should be reported to the GARMs as part of the annual internal audit report. This should include the Quality Assurance Improvement Plan and progress against it. </w:t>
      </w:r>
    </w:p>
    <w:p w:rsidR="008E2F0A" w:rsidRDefault="008E2F0A" w:rsidP="004A7DC2">
      <w:pPr>
        <w:ind w:left="720" w:hanging="11"/>
        <w:jc w:val="both"/>
        <w:rPr>
          <w:rFonts w:ascii="Arial" w:hAnsi="Arial" w:cs="Arial"/>
          <w:b/>
        </w:rPr>
      </w:pPr>
    </w:p>
    <w:p w:rsidR="008E2F0A" w:rsidRPr="00052F29" w:rsidRDefault="008E2F0A" w:rsidP="004A7DC2">
      <w:pPr>
        <w:ind w:left="720" w:hanging="11"/>
        <w:jc w:val="both"/>
        <w:rPr>
          <w:rFonts w:ascii="Arial" w:hAnsi="Arial" w:cs="Arial"/>
          <w:b/>
          <w:i/>
        </w:rPr>
      </w:pPr>
      <w:r w:rsidRPr="00052F29">
        <w:rPr>
          <w:rFonts w:ascii="Arial" w:hAnsi="Arial" w:cs="Arial"/>
          <w:b/>
          <w:i/>
        </w:rPr>
        <w:t>Agreed Action</w:t>
      </w:r>
    </w:p>
    <w:p w:rsidR="008E2F0A" w:rsidRPr="00052F29" w:rsidRDefault="00052F29" w:rsidP="004A7DC2">
      <w:pPr>
        <w:ind w:left="720" w:hanging="11"/>
        <w:jc w:val="both"/>
        <w:rPr>
          <w:rFonts w:ascii="Arial" w:hAnsi="Arial" w:cs="Arial"/>
          <w:i/>
        </w:rPr>
      </w:pPr>
      <w:r w:rsidRPr="00052F29">
        <w:rPr>
          <w:rFonts w:ascii="Arial" w:hAnsi="Arial" w:cs="Arial"/>
          <w:i/>
        </w:rPr>
        <w:t xml:space="preserve">To </w:t>
      </w:r>
      <w:r w:rsidR="008E2F0A" w:rsidRPr="00052F29">
        <w:rPr>
          <w:rFonts w:ascii="Arial" w:hAnsi="Arial" w:cs="Arial"/>
          <w:i/>
        </w:rPr>
        <w:t>be reported as part of the Internal Audit year-end report from 2016/17 onwards.</w:t>
      </w:r>
    </w:p>
    <w:p w:rsidR="00B90D80" w:rsidRDefault="00B90D80" w:rsidP="00650B00">
      <w:pPr>
        <w:ind w:left="720" w:hanging="720"/>
        <w:jc w:val="both"/>
        <w:rPr>
          <w:rFonts w:ascii="Arial" w:hAnsi="Arial" w:cs="Arial"/>
        </w:rPr>
      </w:pPr>
    </w:p>
    <w:p w:rsidR="0031155C" w:rsidRDefault="008E0213" w:rsidP="00650B00">
      <w:pPr>
        <w:ind w:left="720" w:hanging="720"/>
        <w:jc w:val="both"/>
        <w:rPr>
          <w:rFonts w:ascii="Arial" w:hAnsi="Arial" w:cs="Arial"/>
        </w:rPr>
      </w:pPr>
      <w:r>
        <w:rPr>
          <w:rFonts w:ascii="Arial" w:hAnsi="Arial" w:cs="Arial"/>
          <w:b/>
        </w:rPr>
        <w:t>3.2</w:t>
      </w:r>
      <w:r>
        <w:rPr>
          <w:rFonts w:ascii="Arial" w:hAnsi="Arial" w:cs="Arial"/>
          <w:b/>
        </w:rPr>
        <w:tab/>
      </w:r>
      <w:r w:rsidR="0031155C" w:rsidRPr="0031155C">
        <w:rPr>
          <w:rFonts w:ascii="Arial" w:hAnsi="Arial" w:cs="Arial"/>
          <w:b/>
        </w:rPr>
        <w:t>Standard 2010 - Planning</w:t>
      </w:r>
    </w:p>
    <w:p w:rsidR="0031155C" w:rsidRDefault="0031155C" w:rsidP="00650B00">
      <w:pPr>
        <w:ind w:left="720" w:hanging="720"/>
        <w:jc w:val="both"/>
        <w:rPr>
          <w:rFonts w:ascii="Arial" w:hAnsi="Arial" w:cs="Arial"/>
        </w:rPr>
      </w:pPr>
    </w:p>
    <w:p w:rsidR="004A4923" w:rsidRDefault="009001F9" w:rsidP="0031155C">
      <w:pPr>
        <w:ind w:left="720"/>
        <w:jc w:val="both"/>
        <w:rPr>
          <w:rFonts w:ascii="Arial" w:hAnsi="Arial" w:cs="Arial"/>
        </w:rPr>
      </w:pPr>
      <w:r>
        <w:rPr>
          <w:rFonts w:ascii="Arial" w:hAnsi="Arial" w:cs="Arial"/>
        </w:rPr>
        <w:t>The risk based audit planning process should include an assessment of the range of audit techniques that have been selected as the most effective for delivering the audit objectives. This is not currently included within the Annual Internal Audit Plan report.</w:t>
      </w:r>
    </w:p>
    <w:p w:rsidR="0031155C" w:rsidRDefault="0031155C" w:rsidP="0031155C">
      <w:pPr>
        <w:ind w:left="720"/>
        <w:jc w:val="both"/>
        <w:rPr>
          <w:rFonts w:ascii="Arial" w:hAnsi="Arial" w:cs="Arial"/>
        </w:rPr>
      </w:pPr>
    </w:p>
    <w:p w:rsidR="0031155C" w:rsidRDefault="0031155C" w:rsidP="0031155C">
      <w:pPr>
        <w:ind w:left="720"/>
        <w:jc w:val="both"/>
        <w:rPr>
          <w:rFonts w:ascii="Arial" w:hAnsi="Arial" w:cs="Arial"/>
          <w:b/>
        </w:rPr>
      </w:pPr>
      <w:r w:rsidRPr="0031155C">
        <w:rPr>
          <w:rFonts w:ascii="Arial" w:hAnsi="Arial" w:cs="Arial"/>
          <w:b/>
        </w:rPr>
        <w:t>The range of audit techniques that will be used should be included within the Annual internal Audit Plan report.</w:t>
      </w:r>
    </w:p>
    <w:p w:rsidR="008E2F0A" w:rsidRDefault="008E2F0A" w:rsidP="0031155C">
      <w:pPr>
        <w:ind w:left="720"/>
        <w:jc w:val="both"/>
        <w:rPr>
          <w:rFonts w:ascii="Arial" w:hAnsi="Arial" w:cs="Arial"/>
          <w:b/>
        </w:rPr>
      </w:pPr>
    </w:p>
    <w:p w:rsidR="008E2F0A" w:rsidRPr="00052F29" w:rsidRDefault="008E2F0A" w:rsidP="0031155C">
      <w:pPr>
        <w:ind w:left="720"/>
        <w:jc w:val="both"/>
        <w:rPr>
          <w:rFonts w:ascii="Arial" w:hAnsi="Arial" w:cs="Arial"/>
          <w:b/>
          <w:i/>
        </w:rPr>
      </w:pPr>
      <w:r w:rsidRPr="00052F29">
        <w:rPr>
          <w:rFonts w:ascii="Arial" w:hAnsi="Arial" w:cs="Arial"/>
          <w:b/>
          <w:i/>
        </w:rPr>
        <w:t>Agreed Action</w:t>
      </w:r>
    </w:p>
    <w:p w:rsidR="008E2F0A" w:rsidRPr="008E2F0A" w:rsidRDefault="008E2F0A" w:rsidP="0031155C">
      <w:pPr>
        <w:ind w:left="720"/>
        <w:jc w:val="both"/>
        <w:rPr>
          <w:rFonts w:ascii="Arial" w:hAnsi="Arial" w:cs="Arial"/>
        </w:rPr>
      </w:pPr>
      <w:r w:rsidRPr="00052F29">
        <w:rPr>
          <w:rFonts w:ascii="Arial" w:hAnsi="Arial" w:cs="Arial"/>
          <w:i/>
        </w:rPr>
        <w:t>To be included in the Internal Audit Annual Plan report from 2018/19 onwards</w:t>
      </w:r>
      <w:r>
        <w:rPr>
          <w:rFonts w:ascii="Arial" w:hAnsi="Arial" w:cs="Arial"/>
        </w:rPr>
        <w:t>.</w:t>
      </w:r>
    </w:p>
    <w:p w:rsidR="00A61CC8" w:rsidRDefault="00A61CC8" w:rsidP="00650B00">
      <w:pPr>
        <w:ind w:left="720" w:hanging="720"/>
        <w:jc w:val="both"/>
        <w:rPr>
          <w:rFonts w:ascii="Arial" w:hAnsi="Arial" w:cs="Arial"/>
        </w:rPr>
      </w:pPr>
    </w:p>
    <w:p w:rsidR="0031155C" w:rsidRPr="008E0213" w:rsidRDefault="008E0213" w:rsidP="00A61CC8">
      <w:pPr>
        <w:ind w:left="720" w:hanging="720"/>
        <w:jc w:val="both"/>
        <w:rPr>
          <w:rFonts w:ascii="Arial" w:hAnsi="Arial" w:cs="Arial"/>
          <w:b/>
        </w:rPr>
      </w:pPr>
      <w:r w:rsidRPr="008E0213">
        <w:rPr>
          <w:rFonts w:ascii="Arial" w:hAnsi="Arial" w:cs="Arial"/>
          <w:b/>
        </w:rPr>
        <w:t>3.3</w:t>
      </w:r>
      <w:r w:rsidR="00924219" w:rsidRPr="008E0213">
        <w:rPr>
          <w:rFonts w:ascii="Arial" w:hAnsi="Arial" w:cs="Arial"/>
          <w:b/>
        </w:rPr>
        <w:tab/>
      </w:r>
      <w:r w:rsidR="0031155C" w:rsidRPr="008E0213">
        <w:rPr>
          <w:rFonts w:ascii="Arial" w:hAnsi="Arial" w:cs="Arial"/>
          <w:b/>
        </w:rPr>
        <w:t>Standard 2030 – Resource management</w:t>
      </w:r>
    </w:p>
    <w:p w:rsidR="0031155C" w:rsidRDefault="0031155C" w:rsidP="00A61CC8">
      <w:pPr>
        <w:ind w:left="720" w:hanging="720"/>
        <w:jc w:val="both"/>
        <w:rPr>
          <w:rFonts w:ascii="Arial" w:hAnsi="Arial" w:cs="Arial"/>
        </w:rPr>
      </w:pPr>
    </w:p>
    <w:p w:rsidR="00454249" w:rsidRPr="00A61CC8" w:rsidRDefault="00454249" w:rsidP="0031155C">
      <w:pPr>
        <w:ind w:left="720"/>
        <w:jc w:val="both"/>
        <w:rPr>
          <w:rFonts w:ascii="Arial" w:hAnsi="Arial" w:cs="Arial"/>
        </w:rPr>
      </w:pPr>
      <w:r>
        <w:rPr>
          <w:rFonts w:ascii="Arial" w:hAnsi="Arial" w:cs="Arial"/>
        </w:rPr>
        <w:t>Standard 2030 states that “</w:t>
      </w:r>
      <w:r w:rsidR="005B1523" w:rsidRPr="005B1523">
        <w:rPr>
          <w:rFonts w:ascii="Arial" w:hAnsi="Arial" w:cs="Arial"/>
          <w:color w:val="000000"/>
        </w:rPr>
        <w:t>The chief audit executive must ensure that internal audit resources are appropriate, sufficient and effectively deployed to achieve the approved plan.</w:t>
      </w:r>
      <w:r w:rsidR="005B1523">
        <w:rPr>
          <w:rFonts w:ascii="Arial" w:hAnsi="Arial" w:cs="Arial"/>
          <w:color w:val="000000"/>
        </w:rPr>
        <w:t xml:space="preserve"> </w:t>
      </w:r>
      <w:r w:rsidR="005B1523" w:rsidRPr="005B1523">
        <w:rPr>
          <w:rFonts w:ascii="Arial" w:hAnsi="Arial" w:cs="Arial"/>
          <w:i/>
          <w:iCs/>
          <w:color w:val="000000"/>
        </w:rPr>
        <w:t>Interpretation:</w:t>
      </w:r>
      <w:r w:rsidR="005B1523">
        <w:rPr>
          <w:rFonts w:ascii="Arial" w:hAnsi="Arial" w:cs="Arial"/>
          <w:i/>
          <w:iCs/>
          <w:color w:val="000000"/>
        </w:rPr>
        <w:t xml:space="preserve"> </w:t>
      </w:r>
      <w:r w:rsidR="005B1523" w:rsidRPr="005B1523">
        <w:rPr>
          <w:rFonts w:ascii="Arial" w:hAnsi="Arial" w:cs="Arial"/>
          <w:color w:val="000000"/>
        </w:rPr>
        <w:t>Appropriate refers to the mix of knowledge, skills and other competencies needed to perform the plan. Sufficient refers to the quantity of resources needed to accomplish the plan. Resources are effectively deployed when they are used in a way that optimises the achievement of the approved plan.”</w:t>
      </w:r>
    </w:p>
    <w:p w:rsidR="005B1523" w:rsidRPr="005B1523" w:rsidRDefault="005B1523" w:rsidP="005B1523">
      <w:pPr>
        <w:rPr>
          <w:rFonts w:ascii="Arial" w:hAnsi="Arial" w:cs="Arial"/>
        </w:rPr>
      </w:pPr>
    </w:p>
    <w:p w:rsidR="005B1523" w:rsidRDefault="005D4B2A" w:rsidP="005B1523">
      <w:pPr>
        <w:ind w:left="720"/>
        <w:jc w:val="both"/>
        <w:rPr>
          <w:rFonts w:ascii="Arial" w:hAnsi="Arial" w:cs="Arial"/>
        </w:rPr>
      </w:pPr>
      <w:r>
        <w:rPr>
          <w:rFonts w:ascii="Arial" w:hAnsi="Arial" w:cs="Arial"/>
        </w:rPr>
        <w:t xml:space="preserve">The review identified that whilst the pool of auditors have a good range of skills there is a considerable gap between the role of the HIA and the next tier of staff and reliance is placed on the HIA to pick up high level strategic work as well as manage the service. This raises concerns around the capacity of the service, particularly in the current climate of organisational change where the requirement for higher level </w:t>
      </w:r>
      <w:r w:rsidR="00D94187">
        <w:rPr>
          <w:rFonts w:ascii="Arial" w:hAnsi="Arial" w:cs="Arial"/>
        </w:rPr>
        <w:t xml:space="preserve">more strategic </w:t>
      </w:r>
      <w:r>
        <w:rPr>
          <w:rFonts w:ascii="Arial" w:hAnsi="Arial" w:cs="Arial"/>
        </w:rPr>
        <w:t xml:space="preserve">audit work is increasing. </w:t>
      </w:r>
    </w:p>
    <w:p w:rsidR="005D4B2A" w:rsidRDefault="005D4B2A" w:rsidP="005B1523">
      <w:pPr>
        <w:ind w:left="720"/>
        <w:jc w:val="both"/>
        <w:rPr>
          <w:rFonts w:ascii="Arial" w:hAnsi="Arial" w:cs="Arial"/>
        </w:rPr>
      </w:pPr>
    </w:p>
    <w:p w:rsidR="005D4B2A" w:rsidRDefault="005D4B2A" w:rsidP="005B1523">
      <w:pPr>
        <w:ind w:left="720"/>
        <w:jc w:val="both"/>
        <w:rPr>
          <w:rFonts w:ascii="Arial" w:hAnsi="Arial" w:cs="Arial"/>
        </w:rPr>
      </w:pPr>
      <w:r>
        <w:rPr>
          <w:rFonts w:ascii="Arial" w:hAnsi="Arial" w:cs="Arial"/>
        </w:rPr>
        <w:t xml:space="preserve">Discussions with senior officers confirmed </w:t>
      </w:r>
      <w:r w:rsidR="00E424F6">
        <w:rPr>
          <w:rFonts w:ascii="Arial" w:hAnsi="Arial" w:cs="Arial"/>
        </w:rPr>
        <w:t xml:space="preserve">that the service is highly regarded, is responsive and offers a good quality service however, all of the officers recognised that significant reliance is placed on the HIA who has built strong relationships with key officers and members and has significant organisational knowledge. In her absence, there was a recognition that this would result in a </w:t>
      </w:r>
      <w:r w:rsidR="00E424F6">
        <w:rPr>
          <w:rFonts w:ascii="Arial" w:hAnsi="Arial" w:cs="Arial"/>
        </w:rPr>
        <w:lastRenderedPageBreak/>
        <w:t>significant gap in capacity and expertise which could not be filled by any other member of the audit team.</w:t>
      </w:r>
    </w:p>
    <w:p w:rsidR="0031155C" w:rsidRDefault="0031155C" w:rsidP="005B1523">
      <w:pPr>
        <w:ind w:left="720"/>
        <w:jc w:val="both"/>
        <w:rPr>
          <w:rFonts w:ascii="Arial" w:hAnsi="Arial" w:cs="Arial"/>
        </w:rPr>
      </w:pPr>
    </w:p>
    <w:p w:rsidR="00E36254" w:rsidRDefault="0031155C" w:rsidP="005B1523">
      <w:pPr>
        <w:ind w:left="720"/>
        <w:jc w:val="both"/>
        <w:rPr>
          <w:rFonts w:ascii="Arial" w:hAnsi="Arial" w:cs="Arial"/>
          <w:b/>
        </w:rPr>
      </w:pPr>
      <w:r w:rsidRPr="00595709">
        <w:rPr>
          <w:rFonts w:ascii="Arial" w:hAnsi="Arial" w:cs="Arial"/>
          <w:b/>
        </w:rPr>
        <w:t xml:space="preserve">A review of the current staffing structure should be undertaken to improve the resilience of the service and reduce the risk of over-reliance on the HIA. This should include succession planning for the HIA role and consider the current skills, knowledge and experience of the team and potential for career development.  </w:t>
      </w:r>
    </w:p>
    <w:p w:rsidR="00E36254" w:rsidRDefault="00E36254" w:rsidP="005B1523">
      <w:pPr>
        <w:ind w:left="720"/>
        <w:jc w:val="both"/>
        <w:rPr>
          <w:rFonts w:ascii="Arial" w:hAnsi="Arial" w:cs="Arial"/>
          <w:b/>
        </w:rPr>
      </w:pPr>
    </w:p>
    <w:p w:rsidR="00E36254" w:rsidRPr="00052F29" w:rsidRDefault="00E36254" w:rsidP="005B1523">
      <w:pPr>
        <w:ind w:left="720"/>
        <w:jc w:val="both"/>
        <w:rPr>
          <w:rFonts w:ascii="Arial" w:hAnsi="Arial" w:cs="Arial"/>
          <w:b/>
          <w:i/>
        </w:rPr>
      </w:pPr>
      <w:r w:rsidRPr="00052F29">
        <w:rPr>
          <w:rFonts w:ascii="Arial" w:hAnsi="Arial" w:cs="Arial"/>
          <w:b/>
          <w:i/>
        </w:rPr>
        <w:t>Agreed Action</w:t>
      </w:r>
    </w:p>
    <w:p w:rsidR="00E36254" w:rsidRPr="007555F5" w:rsidRDefault="00E36254" w:rsidP="005B1523">
      <w:pPr>
        <w:ind w:left="720"/>
        <w:jc w:val="both"/>
        <w:rPr>
          <w:rFonts w:ascii="Arial" w:hAnsi="Arial" w:cs="Arial"/>
          <w:i/>
        </w:rPr>
      </w:pPr>
      <w:r w:rsidRPr="00052F29">
        <w:rPr>
          <w:rFonts w:ascii="Arial" w:hAnsi="Arial" w:cs="Arial"/>
          <w:i/>
        </w:rPr>
        <w:t xml:space="preserve">A review will be undertaken and action taken </w:t>
      </w:r>
      <w:r w:rsidR="00277BCF">
        <w:rPr>
          <w:rFonts w:ascii="Arial" w:hAnsi="Arial" w:cs="Arial"/>
          <w:i/>
        </w:rPr>
        <w:t>(</w:t>
      </w:r>
      <w:r w:rsidRPr="00052F29">
        <w:rPr>
          <w:rFonts w:ascii="Arial" w:hAnsi="Arial" w:cs="Arial"/>
          <w:i/>
        </w:rPr>
        <w:t>if possible</w:t>
      </w:r>
      <w:r w:rsidR="00277BCF">
        <w:rPr>
          <w:rFonts w:ascii="Arial" w:hAnsi="Arial" w:cs="Arial"/>
          <w:i/>
        </w:rPr>
        <w:t>)</w:t>
      </w:r>
      <w:r w:rsidRPr="00052F29">
        <w:rPr>
          <w:rFonts w:ascii="Arial" w:hAnsi="Arial" w:cs="Arial"/>
          <w:i/>
        </w:rPr>
        <w:t xml:space="preserve"> to address this point however budget constraints severally restrict our ability to address this</w:t>
      </w:r>
      <w:r>
        <w:rPr>
          <w:rFonts w:ascii="Arial" w:hAnsi="Arial" w:cs="Arial"/>
        </w:rPr>
        <w:t xml:space="preserve">. </w:t>
      </w:r>
      <w:r w:rsidR="007555F5">
        <w:rPr>
          <w:rFonts w:ascii="Arial" w:hAnsi="Arial" w:cs="Arial"/>
          <w:i/>
        </w:rPr>
        <w:t xml:space="preserve">A proposal for the four Auditor posts to act as a Principal Auditor on a rotation basis as part of a training plan is currently being considered – this will improve resilience and help to reduce the over-reliance on the HIA.  </w:t>
      </w:r>
    </w:p>
    <w:p w:rsidR="0068368A" w:rsidRDefault="0068368A" w:rsidP="005B1523">
      <w:pPr>
        <w:ind w:left="720"/>
        <w:jc w:val="both"/>
        <w:rPr>
          <w:rFonts w:ascii="Arial" w:hAnsi="Arial" w:cs="Arial"/>
          <w:b/>
        </w:rPr>
      </w:pPr>
    </w:p>
    <w:p w:rsidR="00472C73" w:rsidRPr="00472C73" w:rsidRDefault="008E0213" w:rsidP="00472C73">
      <w:pPr>
        <w:ind w:left="720" w:hanging="720"/>
        <w:jc w:val="both"/>
        <w:rPr>
          <w:rFonts w:ascii="Arial" w:hAnsi="Arial" w:cs="Arial"/>
          <w:b/>
        </w:rPr>
      </w:pPr>
      <w:r>
        <w:rPr>
          <w:rFonts w:ascii="Arial" w:hAnsi="Arial" w:cs="Arial"/>
          <w:b/>
        </w:rPr>
        <w:t>3.4</w:t>
      </w:r>
      <w:r w:rsidR="00472C73" w:rsidRPr="00472C73">
        <w:rPr>
          <w:rFonts w:ascii="Arial" w:hAnsi="Arial" w:cs="Arial"/>
          <w:b/>
        </w:rPr>
        <w:tab/>
        <w:t>Standard 2200 – Engagement Planning</w:t>
      </w:r>
    </w:p>
    <w:p w:rsidR="00472C73" w:rsidRPr="00472C73" w:rsidRDefault="00472C73" w:rsidP="00472C73">
      <w:pPr>
        <w:ind w:left="720" w:hanging="720"/>
        <w:jc w:val="both"/>
        <w:rPr>
          <w:rFonts w:ascii="Arial" w:hAnsi="Arial" w:cs="Arial"/>
        </w:rPr>
      </w:pPr>
    </w:p>
    <w:p w:rsidR="00472C73" w:rsidRDefault="00472C73" w:rsidP="005B1523">
      <w:pPr>
        <w:ind w:left="720"/>
        <w:jc w:val="both"/>
        <w:rPr>
          <w:rFonts w:ascii="Arial" w:hAnsi="Arial" w:cs="Arial"/>
        </w:rPr>
      </w:pPr>
      <w:r>
        <w:rPr>
          <w:rFonts w:ascii="Arial" w:hAnsi="Arial" w:cs="Arial"/>
        </w:rPr>
        <w:t>Audit Programme &amp; Allocation of Days forms are completed for all audit assignments as part of the planning process. Although this includes the identification and review of key risks, it does not specifically include fraud risks.</w:t>
      </w:r>
    </w:p>
    <w:p w:rsidR="00472C73" w:rsidRDefault="00472C73" w:rsidP="005B1523">
      <w:pPr>
        <w:ind w:left="720"/>
        <w:jc w:val="both"/>
        <w:rPr>
          <w:rFonts w:ascii="Arial" w:hAnsi="Arial" w:cs="Arial"/>
        </w:rPr>
      </w:pPr>
    </w:p>
    <w:p w:rsidR="00472C73" w:rsidRDefault="00472C73" w:rsidP="005B1523">
      <w:pPr>
        <w:ind w:left="720"/>
        <w:jc w:val="both"/>
        <w:rPr>
          <w:rFonts w:ascii="Arial" w:hAnsi="Arial" w:cs="Arial"/>
          <w:b/>
        </w:rPr>
      </w:pPr>
      <w:r w:rsidRPr="00472C73">
        <w:rPr>
          <w:rFonts w:ascii="Arial" w:hAnsi="Arial" w:cs="Arial"/>
          <w:b/>
        </w:rPr>
        <w:t>The Audit Programme &amp; Allocation of Days form should be updated to include the identification of fraud risks.</w:t>
      </w:r>
    </w:p>
    <w:p w:rsidR="00785167" w:rsidRDefault="00785167" w:rsidP="005B1523">
      <w:pPr>
        <w:ind w:left="720"/>
        <w:jc w:val="both"/>
        <w:rPr>
          <w:rFonts w:ascii="Arial" w:hAnsi="Arial" w:cs="Arial"/>
          <w:b/>
        </w:rPr>
      </w:pPr>
    </w:p>
    <w:p w:rsidR="00785167" w:rsidRPr="00052F29" w:rsidRDefault="00211B26" w:rsidP="005B1523">
      <w:pPr>
        <w:ind w:left="720"/>
        <w:jc w:val="both"/>
        <w:rPr>
          <w:rFonts w:ascii="Arial" w:hAnsi="Arial" w:cs="Arial"/>
          <w:b/>
          <w:i/>
        </w:rPr>
      </w:pPr>
      <w:r w:rsidRPr="00052F29">
        <w:rPr>
          <w:rFonts w:ascii="Arial" w:hAnsi="Arial" w:cs="Arial"/>
          <w:b/>
          <w:i/>
        </w:rPr>
        <w:t>HIA Comment</w:t>
      </w:r>
    </w:p>
    <w:p w:rsidR="00785167" w:rsidRPr="00052F29" w:rsidRDefault="00211B26" w:rsidP="005B1523">
      <w:pPr>
        <w:ind w:left="720"/>
        <w:jc w:val="both"/>
        <w:rPr>
          <w:rFonts w:ascii="Arial" w:hAnsi="Arial" w:cs="Arial"/>
          <w:i/>
        </w:rPr>
      </w:pPr>
      <w:r w:rsidRPr="00052F29">
        <w:rPr>
          <w:rFonts w:ascii="Arial" w:hAnsi="Arial" w:cs="Arial"/>
          <w:i/>
        </w:rPr>
        <w:t xml:space="preserve">Fraud risk is considered along with other key risk when auditors are developing the objectives of an engagement.  The Audit Programme &amp; </w:t>
      </w:r>
      <w:r w:rsidR="00052F29" w:rsidRPr="00052F29">
        <w:rPr>
          <w:rFonts w:ascii="Arial" w:hAnsi="Arial" w:cs="Arial"/>
          <w:i/>
        </w:rPr>
        <w:t>A</w:t>
      </w:r>
      <w:r w:rsidRPr="00052F29">
        <w:rPr>
          <w:rFonts w:ascii="Arial" w:hAnsi="Arial" w:cs="Arial"/>
          <w:i/>
        </w:rPr>
        <w:t>llocation of Days template requires the auditor to identify all key risks, including fraud where appropriate in accordance with Standard 2200.  The Internal Audit Manual contains specific guidance on the assessment of risks.</w:t>
      </w:r>
      <w:r w:rsidR="00785167" w:rsidRPr="00052F29">
        <w:rPr>
          <w:rFonts w:ascii="Arial" w:hAnsi="Arial" w:cs="Arial"/>
          <w:i/>
        </w:rPr>
        <w:t xml:space="preserve"> </w:t>
      </w:r>
    </w:p>
    <w:p w:rsidR="00472C73" w:rsidRDefault="00472C73" w:rsidP="005B1523">
      <w:pPr>
        <w:ind w:left="720"/>
        <w:jc w:val="both"/>
        <w:rPr>
          <w:rFonts w:ascii="Arial" w:hAnsi="Arial" w:cs="Arial"/>
          <w:b/>
        </w:rPr>
      </w:pPr>
    </w:p>
    <w:p w:rsidR="0057787E" w:rsidRDefault="008E0213" w:rsidP="008E0213">
      <w:pPr>
        <w:ind w:left="720" w:hanging="720"/>
        <w:jc w:val="both"/>
        <w:rPr>
          <w:rFonts w:ascii="Arial" w:hAnsi="Arial" w:cs="Arial"/>
          <w:b/>
        </w:rPr>
      </w:pPr>
      <w:r>
        <w:rPr>
          <w:rFonts w:ascii="Arial" w:hAnsi="Arial" w:cs="Arial"/>
          <w:b/>
        </w:rPr>
        <w:t>3.5</w:t>
      </w:r>
      <w:r>
        <w:rPr>
          <w:rFonts w:ascii="Arial" w:hAnsi="Arial" w:cs="Arial"/>
          <w:b/>
        </w:rPr>
        <w:tab/>
      </w:r>
      <w:r w:rsidR="0057787E">
        <w:rPr>
          <w:rFonts w:ascii="Arial" w:hAnsi="Arial" w:cs="Arial"/>
          <w:b/>
        </w:rPr>
        <w:t>Standard 2300 – Performing the Engagement</w:t>
      </w:r>
    </w:p>
    <w:p w:rsidR="0057787E" w:rsidRDefault="0057787E" w:rsidP="005B1523">
      <w:pPr>
        <w:ind w:left="720"/>
        <w:jc w:val="both"/>
        <w:rPr>
          <w:rFonts w:ascii="Arial" w:hAnsi="Arial" w:cs="Arial"/>
          <w:b/>
        </w:rPr>
      </w:pPr>
    </w:p>
    <w:p w:rsidR="0057787E" w:rsidRDefault="009001F9" w:rsidP="009001F9">
      <w:pPr>
        <w:ind w:left="720" w:hanging="720"/>
        <w:jc w:val="both"/>
        <w:rPr>
          <w:rFonts w:ascii="Arial" w:hAnsi="Arial" w:cs="Arial"/>
        </w:rPr>
      </w:pPr>
      <w:r>
        <w:rPr>
          <w:rFonts w:ascii="Arial" w:hAnsi="Arial" w:cs="Arial"/>
        </w:rPr>
        <w:tab/>
      </w:r>
      <w:r w:rsidR="0057787E">
        <w:rPr>
          <w:rFonts w:ascii="Arial" w:hAnsi="Arial" w:cs="Arial"/>
        </w:rPr>
        <w:t xml:space="preserve">Project control sheets are used to document the engagement process to include the issuing and independent review of the Audit brief, Internal Control Evaluation (ICE), Draft and Final reports. Testing identified that these are not used consistently across all types of audit undertaken. </w:t>
      </w:r>
    </w:p>
    <w:p w:rsidR="0057787E" w:rsidRDefault="0057787E" w:rsidP="009001F9">
      <w:pPr>
        <w:ind w:left="720" w:hanging="720"/>
        <w:jc w:val="both"/>
        <w:rPr>
          <w:rFonts w:ascii="Arial" w:hAnsi="Arial" w:cs="Arial"/>
        </w:rPr>
      </w:pPr>
    </w:p>
    <w:p w:rsidR="009001F9" w:rsidRDefault="0057787E" w:rsidP="0057787E">
      <w:pPr>
        <w:ind w:left="720" w:hanging="11"/>
        <w:jc w:val="both"/>
        <w:rPr>
          <w:rFonts w:ascii="Arial" w:hAnsi="Arial" w:cs="Arial"/>
          <w:b/>
        </w:rPr>
      </w:pPr>
      <w:r w:rsidRPr="0057787E">
        <w:rPr>
          <w:rFonts w:ascii="Arial" w:hAnsi="Arial" w:cs="Arial"/>
          <w:b/>
        </w:rPr>
        <w:t xml:space="preserve">Project control sheets should be completed for all audits undertaken.  </w:t>
      </w:r>
      <w:r w:rsidR="00332D51">
        <w:rPr>
          <w:rFonts w:ascii="Arial" w:hAnsi="Arial" w:cs="Arial"/>
          <w:b/>
        </w:rPr>
        <w:t xml:space="preserve">Draft and Final reports should not be issued without review and sign off on the Project control sheet. </w:t>
      </w:r>
    </w:p>
    <w:p w:rsidR="00052F29" w:rsidRDefault="00052F29" w:rsidP="0057787E">
      <w:pPr>
        <w:ind w:left="720" w:hanging="11"/>
        <w:jc w:val="both"/>
        <w:rPr>
          <w:rFonts w:ascii="Arial" w:hAnsi="Arial" w:cs="Arial"/>
          <w:b/>
        </w:rPr>
      </w:pPr>
    </w:p>
    <w:p w:rsidR="00052F29" w:rsidRDefault="00052F29" w:rsidP="0057787E">
      <w:pPr>
        <w:ind w:left="720" w:hanging="11"/>
        <w:jc w:val="both"/>
        <w:rPr>
          <w:rFonts w:ascii="Arial" w:hAnsi="Arial" w:cs="Arial"/>
          <w:b/>
        </w:rPr>
      </w:pPr>
    </w:p>
    <w:p w:rsidR="00211B26" w:rsidRPr="00052F29" w:rsidRDefault="00211B26" w:rsidP="0057787E">
      <w:pPr>
        <w:ind w:left="720" w:hanging="11"/>
        <w:jc w:val="both"/>
        <w:rPr>
          <w:rFonts w:ascii="Arial" w:hAnsi="Arial" w:cs="Arial"/>
          <w:b/>
          <w:i/>
        </w:rPr>
      </w:pPr>
      <w:r w:rsidRPr="00052F29">
        <w:rPr>
          <w:rFonts w:ascii="Arial" w:hAnsi="Arial" w:cs="Arial"/>
          <w:b/>
          <w:i/>
        </w:rPr>
        <w:t>HIA Comment</w:t>
      </w:r>
    </w:p>
    <w:p w:rsidR="00211B26" w:rsidRPr="00052F29" w:rsidRDefault="0020642B" w:rsidP="0057787E">
      <w:pPr>
        <w:ind w:left="720" w:hanging="11"/>
        <w:jc w:val="both"/>
        <w:rPr>
          <w:rFonts w:ascii="Arial" w:hAnsi="Arial" w:cs="Arial"/>
          <w:i/>
        </w:rPr>
      </w:pPr>
      <w:r w:rsidRPr="00052F29">
        <w:rPr>
          <w:rFonts w:ascii="Arial" w:hAnsi="Arial" w:cs="Arial"/>
          <w:i/>
        </w:rPr>
        <w:t xml:space="preserve">Standard 2300 requires that ‘Appropriate evidence of supervision is documented and retained’.  </w:t>
      </w:r>
      <w:r w:rsidR="00211B26" w:rsidRPr="00052F29">
        <w:rPr>
          <w:rFonts w:ascii="Arial" w:hAnsi="Arial" w:cs="Arial"/>
          <w:i/>
        </w:rPr>
        <w:t xml:space="preserve">Project Control sheets are completed for all audit </w:t>
      </w:r>
      <w:r w:rsidR="00052F29" w:rsidRPr="00052F29">
        <w:rPr>
          <w:rFonts w:ascii="Arial" w:hAnsi="Arial" w:cs="Arial"/>
          <w:i/>
        </w:rPr>
        <w:t>reviews</w:t>
      </w:r>
      <w:r w:rsidR="00211B26" w:rsidRPr="00052F29">
        <w:rPr>
          <w:rFonts w:ascii="Arial" w:hAnsi="Arial" w:cs="Arial"/>
          <w:i/>
        </w:rPr>
        <w:t xml:space="preserve"> and draft/final reports are not issued without them being reviewed and signed off.  The exception identified in the Peer Review related to a review </w:t>
      </w:r>
      <w:r w:rsidR="00211B26" w:rsidRPr="00052F29">
        <w:rPr>
          <w:rFonts w:ascii="Arial" w:hAnsi="Arial" w:cs="Arial"/>
          <w:i/>
        </w:rPr>
        <w:lastRenderedPageBreak/>
        <w:t xml:space="preserve">that was undertaken involving a sample of schools for which one project control sheet was completed for the whole sample with </w:t>
      </w:r>
      <w:r w:rsidR="00052F29" w:rsidRPr="00052F29">
        <w:rPr>
          <w:rFonts w:ascii="Arial" w:hAnsi="Arial" w:cs="Arial"/>
          <w:i/>
        </w:rPr>
        <w:t>detailed comments from the auditor undertaking the quality review and HIA made on the individual draft reports and retained on file as evidence</w:t>
      </w:r>
      <w:r w:rsidRPr="00052F29">
        <w:rPr>
          <w:rFonts w:ascii="Arial" w:hAnsi="Arial" w:cs="Arial"/>
          <w:i/>
        </w:rPr>
        <w:t>.</w:t>
      </w:r>
      <w:r w:rsidR="00052F29" w:rsidRPr="00052F29">
        <w:rPr>
          <w:rFonts w:ascii="Arial" w:hAnsi="Arial" w:cs="Arial"/>
          <w:i/>
        </w:rPr>
        <w:t xml:space="preserve">  Thus the requirements of Standard 2300 were met.  </w:t>
      </w:r>
    </w:p>
    <w:p w:rsidR="00332D51" w:rsidRDefault="00332D51" w:rsidP="0057787E">
      <w:pPr>
        <w:ind w:left="720" w:hanging="11"/>
        <w:jc w:val="both"/>
        <w:rPr>
          <w:rFonts w:ascii="Arial" w:hAnsi="Arial" w:cs="Arial"/>
          <w:b/>
        </w:rPr>
      </w:pPr>
    </w:p>
    <w:p w:rsidR="00472C73" w:rsidRDefault="00332D51" w:rsidP="00472C73">
      <w:pPr>
        <w:ind w:left="709" w:hanging="709"/>
        <w:jc w:val="both"/>
        <w:rPr>
          <w:rFonts w:ascii="Arial" w:hAnsi="Arial" w:cs="Arial"/>
        </w:rPr>
      </w:pPr>
      <w:r>
        <w:rPr>
          <w:rFonts w:ascii="Arial" w:hAnsi="Arial" w:cs="Arial"/>
        </w:rPr>
        <w:tab/>
        <w:t>Whilst the peer review of key documents is recorded in part on the Project control sheets and draft copies of reports retained on audit files, a review sheet is not completed highlighting specific review points and documenting responses. Although this was previously undertaken</w:t>
      </w:r>
      <w:r w:rsidR="00472C73">
        <w:rPr>
          <w:rFonts w:ascii="Arial" w:hAnsi="Arial" w:cs="Arial"/>
        </w:rPr>
        <w:t>,</w:t>
      </w:r>
      <w:r>
        <w:rPr>
          <w:rFonts w:ascii="Arial" w:hAnsi="Arial" w:cs="Arial"/>
        </w:rPr>
        <w:t xml:space="preserve"> a decision was taken to discontinue this process as it was felt that </w:t>
      </w:r>
      <w:r w:rsidR="00472C73">
        <w:rPr>
          <w:rFonts w:ascii="Arial" w:hAnsi="Arial" w:cs="Arial"/>
        </w:rPr>
        <w:t xml:space="preserve">it did not add value. </w:t>
      </w:r>
    </w:p>
    <w:p w:rsidR="00472C73" w:rsidRDefault="00472C73" w:rsidP="00332D51">
      <w:pPr>
        <w:jc w:val="both"/>
        <w:rPr>
          <w:rFonts w:ascii="Arial" w:hAnsi="Arial" w:cs="Arial"/>
        </w:rPr>
      </w:pPr>
    </w:p>
    <w:p w:rsidR="00332D51" w:rsidRDefault="00472C73" w:rsidP="00472C73">
      <w:pPr>
        <w:ind w:left="709"/>
        <w:jc w:val="both"/>
        <w:rPr>
          <w:rFonts w:ascii="Arial" w:hAnsi="Arial" w:cs="Arial"/>
          <w:b/>
        </w:rPr>
      </w:pPr>
      <w:r w:rsidRPr="00472C73">
        <w:rPr>
          <w:rFonts w:ascii="Arial" w:hAnsi="Arial" w:cs="Arial"/>
          <w:b/>
        </w:rPr>
        <w:t xml:space="preserve">It is best practice for a review sheet to be completed identifying all comments, queries and amendments raised as part of the peer review of the audit file. This would ensure that there is a proper audit trail demonstrating that all review points have been adequately addressed. In order to avoid duplication, it may be appropriate to record some comments or amendments on the draft report and to refer to this report on the review sheet. </w:t>
      </w:r>
      <w:r>
        <w:rPr>
          <w:rFonts w:ascii="Arial" w:hAnsi="Arial" w:cs="Arial"/>
          <w:b/>
        </w:rPr>
        <w:t>However, c</w:t>
      </w:r>
      <w:r w:rsidRPr="00472C73">
        <w:rPr>
          <w:rFonts w:ascii="Arial" w:hAnsi="Arial" w:cs="Arial"/>
          <w:b/>
        </w:rPr>
        <w:t xml:space="preserve">hecks would still need to be undertaken prior to issue of the report to ensure that any review points had been addressed. </w:t>
      </w:r>
      <w:r w:rsidR="00332D51" w:rsidRPr="00472C73">
        <w:rPr>
          <w:rFonts w:ascii="Arial" w:hAnsi="Arial" w:cs="Arial"/>
          <w:b/>
        </w:rPr>
        <w:t xml:space="preserve"> </w:t>
      </w:r>
    </w:p>
    <w:p w:rsidR="002E5919" w:rsidRDefault="002E5919" w:rsidP="00472C73">
      <w:pPr>
        <w:ind w:left="709"/>
        <w:jc w:val="both"/>
        <w:rPr>
          <w:rFonts w:ascii="Arial" w:hAnsi="Arial" w:cs="Arial"/>
          <w:b/>
        </w:rPr>
      </w:pPr>
    </w:p>
    <w:p w:rsidR="002E5919" w:rsidRDefault="002E5919" w:rsidP="00472C73">
      <w:pPr>
        <w:ind w:left="709"/>
        <w:jc w:val="both"/>
        <w:rPr>
          <w:rFonts w:ascii="Arial" w:hAnsi="Arial" w:cs="Arial"/>
          <w:b/>
          <w:i/>
        </w:rPr>
      </w:pPr>
      <w:r w:rsidRPr="002E5919">
        <w:rPr>
          <w:rFonts w:ascii="Arial" w:hAnsi="Arial" w:cs="Arial"/>
          <w:b/>
          <w:i/>
        </w:rPr>
        <w:t>HIA Comment</w:t>
      </w:r>
    </w:p>
    <w:p w:rsidR="002E5919" w:rsidRPr="002E5919" w:rsidRDefault="00BB3C42" w:rsidP="00472C73">
      <w:pPr>
        <w:ind w:left="709"/>
        <w:jc w:val="both"/>
        <w:rPr>
          <w:rFonts w:ascii="Arial" w:hAnsi="Arial" w:cs="Arial"/>
          <w:i/>
        </w:rPr>
      </w:pPr>
      <w:r>
        <w:rPr>
          <w:rFonts w:ascii="Arial" w:hAnsi="Arial" w:cs="Arial"/>
          <w:i/>
        </w:rPr>
        <w:t>As above</w:t>
      </w:r>
      <w:r w:rsidRPr="00BB3C42">
        <w:t xml:space="preserve"> </w:t>
      </w:r>
      <w:r w:rsidRPr="00BB3C42">
        <w:rPr>
          <w:rFonts w:ascii="Arial" w:hAnsi="Arial" w:cs="Arial"/>
          <w:i/>
        </w:rPr>
        <w:t xml:space="preserve">Standard 2300 requires that ‘Appropriate evidence of supervision is documented and retained’.  </w:t>
      </w:r>
      <w:r>
        <w:rPr>
          <w:rFonts w:ascii="Arial" w:hAnsi="Arial" w:cs="Arial"/>
          <w:i/>
        </w:rPr>
        <w:t xml:space="preserve">All comments, queries and amendments arising from the quality check or management review are recorded on the relevant working paper/draft report and retained as evidence.  A check is undertaken to ensure that all review points have been adequately addressed when the review of the next iteration of the working paper/draft report is made by the quality checker or the HIA i.e. prior to the issue of the report. </w:t>
      </w:r>
    </w:p>
    <w:p w:rsidR="002E5919" w:rsidRDefault="002E5919" w:rsidP="00472C73">
      <w:pPr>
        <w:ind w:left="709"/>
        <w:jc w:val="both"/>
        <w:rPr>
          <w:rFonts w:ascii="Arial" w:hAnsi="Arial" w:cs="Arial"/>
          <w:b/>
        </w:rPr>
      </w:pPr>
    </w:p>
    <w:p w:rsidR="0060577A" w:rsidRDefault="0060577A" w:rsidP="00472C73">
      <w:pPr>
        <w:ind w:left="709"/>
        <w:jc w:val="both"/>
        <w:rPr>
          <w:rFonts w:ascii="Arial" w:hAnsi="Arial" w:cs="Arial"/>
          <w:b/>
        </w:rPr>
      </w:pPr>
    </w:p>
    <w:p w:rsidR="0060577A" w:rsidRDefault="007A41E2" w:rsidP="007A41E2">
      <w:pPr>
        <w:ind w:left="709" w:hanging="709"/>
        <w:jc w:val="both"/>
        <w:rPr>
          <w:rFonts w:ascii="Arial" w:hAnsi="Arial" w:cs="Arial"/>
          <w:b/>
        </w:rPr>
      </w:pPr>
      <w:r>
        <w:rPr>
          <w:rFonts w:ascii="Arial" w:hAnsi="Arial" w:cs="Arial"/>
          <w:b/>
        </w:rPr>
        <w:t>3.6</w:t>
      </w:r>
      <w:r>
        <w:rPr>
          <w:rFonts w:ascii="Arial" w:hAnsi="Arial" w:cs="Arial"/>
          <w:b/>
        </w:rPr>
        <w:tab/>
      </w:r>
      <w:r w:rsidR="0060577A">
        <w:rPr>
          <w:rFonts w:ascii="Arial" w:hAnsi="Arial" w:cs="Arial"/>
          <w:b/>
        </w:rPr>
        <w:t>Standard 2400 – Communicating Results</w:t>
      </w:r>
    </w:p>
    <w:p w:rsidR="0060577A" w:rsidRDefault="0060577A" w:rsidP="00472C73">
      <w:pPr>
        <w:ind w:left="709"/>
        <w:jc w:val="both"/>
        <w:rPr>
          <w:rFonts w:ascii="Arial" w:hAnsi="Arial" w:cs="Arial"/>
          <w:b/>
        </w:rPr>
      </w:pPr>
    </w:p>
    <w:p w:rsidR="0060577A" w:rsidRDefault="0060577A" w:rsidP="0060577A">
      <w:pPr>
        <w:ind w:left="709" w:hanging="709"/>
        <w:jc w:val="both"/>
        <w:rPr>
          <w:rFonts w:ascii="Arial" w:hAnsi="Arial" w:cs="Arial"/>
        </w:rPr>
      </w:pPr>
      <w:r w:rsidRPr="0060577A">
        <w:rPr>
          <w:rFonts w:ascii="Arial" w:hAnsi="Arial" w:cs="Arial"/>
        </w:rPr>
        <w:tab/>
      </w:r>
      <w:r>
        <w:rPr>
          <w:rFonts w:ascii="Arial" w:hAnsi="Arial" w:cs="Arial"/>
        </w:rPr>
        <w:t>Customer surveys are not issued to clients following the completion of audit assignments to seek feedback on the value of the work undertaken. Although this used to be undertaken, manual forms were used and the return rate was extremely low.</w:t>
      </w:r>
    </w:p>
    <w:p w:rsidR="0060577A" w:rsidRDefault="0060577A" w:rsidP="0060577A">
      <w:pPr>
        <w:ind w:left="709" w:hanging="709"/>
        <w:jc w:val="both"/>
        <w:rPr>
          <w:rFonts w:ascii="Arial" w:hAnsi="Arial" w:cs="Arial"/>
        </w:rPr>
      </w:pPr>
    </w:p>
    <w:p w:rsidR="0060577A" w:rsidRDefault="0060577A" w:rsidP="0060577A">
      <w:pPr>
        <w:ind w:left="709"/>
        <w:jc w:val="both"/>
        <w:rPr>
          <w:rFonts w:ascii="Arial" w:hAnsi="Arial" w:cs="Arial"/>
          <w:b/>
        </w:rPr>
      </w:pPr>
      <w:r>
        <w:rPr>
          <w:rFonts w:ascii="Arial" w:hAnsi="Arial" w:cs="Arial"/>
          <w:b/>
        </w:rPr>
        <w:t xml:space="preserve">Consideration should be given to the use of Survey Monkey or similar on-line questionnaire to obtain feedback on all audit assignments undertaken. The results from quality questionnaires should </w:t>
      </w:r>
      <w:r w:rsidR="008E2F0A">
        <w:rPr>
          <w:rFonts w:ascii="Arial" w:hAnsi="Arial" w:cs="Arial"/>
          <w:b/>
        </w:rPr>
        <w:t xml:space="preserve">be </w:t>
      </w:r>
      <w:r>
        <w:rPr>
          <w:rFonts w:ascii="Arial" w:hAnsi="Arial" w:cs="Arial"/>
          <w:b/>
        </w:rPr>
        <w:t xml:space="preserve">reviewed, action taken where necessary and be reported </w:t>
      </w:r>
      <w:r w:rsidR="00DC2F6F">
        <w:rPr>
          <w:rFonts w:ascii="Arial" w:hAnsi="Arial" w:cs="Arial"/>
          <w:b/>
        </w:rPr>
        <w:t xml:space="preserve">to the GARMs Committee </w:t>
      </w:r>
      <w:r>
        <w:rPr>
          <w:rFonts w:ascii="Arial" w:hAnsi="Arial" w:cs="Arial"/>
          <w:b/>
        </w:rPr>
        <w:t>as part of the annual internal audit report.</w:t>
      </w:r>
    </w:p>
    <w:p w:rsidR="008E2F0A" w:rsidRDefault="008E2F0A" w:rsidP="0060577A">
      <w:pPr>
        <w:ind w:left="709"/>
        <w:jc w:val="both"/>
        <w:rPr>
          <w:rFonts w:ascii="Arial" w:hAnsi="Arial" w:cs="Arial"/>
          <w:b/>
        </w:rPr>
      </w:pPr>
    </w:p>
    <w:p w:rsidR="008E2F0A" w:rsidRPr="002E5919" w:rsidRDefault="00863DB2" w:rsidP="0060577A">
      <w:pPr>
        <w:ind w:left="709"/>
        <w:jc w:val="both"/>
        <w:rPr>
          <w:rFonts w:ascii="Arial" w:hAnsi="Arial" w:cs="Arial"/>
          <w:b/>
          <w:i/>
        </w:rPr>
      </w:pPr>
      <w:r>
        <w:rPr>
          <w:rFonts w:ascii="Arial" w:hAnsi="Arial" w:cs="Arial"/>
          <w:b/>
          <w:i/>
        </w:rPr>
        <w:t>HIA Comment</w:t>
      </w:r>
    </w:p>
    <w:p w:rsidR="008E2F0A" w:rsidRPr="002E5919" w:rsidRDefault="00DF1E3A" w:rsidP="0060577A">
      <w:pPr>
        <w:ind w:left="709"/>
        <w:jc w:val="both"/>
        <w:rPr>
          <w:rFonts w:ascii="Arial" w:hAnsi="Arial" w:cs="Arial"/>
          <w:i/>
        </w:rPr>
      </w:pPr>
      <w:r w:rsidRPr="002E5919">
        <w:rPr>
          <w:rFonts w:ascii="Arial" w:hAnsi="Arial" w:cs="Arial"/>
          <w:i/>
        </w:rPr>
        <w:t xml:space="preserve">Standard 2400 does not require or make any reference to obtaining feedback on individual assignments or on the Internal Audit Service as a whole.  Feedback is however requested from senior management as part of the </w:t>
      </w:r>
      <w:r w:rsidRPr="002E5919">
        <w:rPr>
          <w:rFonts w:ascii="Arial" w:hAnsi="Arial" w:cs="Arial"/>
          <w:i/>
        </w:rPr>
        <w:lastRenderedPageBreak/>
        <w:t>annual self-assessment (via HIA meetings with Corporate Directors</w:t>
      </w:r>
      <w:r w:rsidR="00863DB2">
        <w:rPr>
          <w:rFonts w:ascii="Arial" w:hAnsi="Arial" w:cs="Arial"/>
          <w:i/>
        </w:rPr>
        <w:t>/surveys</w:t>
      </w:r>
      <w:r w:rsidRPr="002E5919">
        <w:rPr>
          <w:rFonts w:ascii="Arial" w:hAnsi="Arial" w:cs="Arial"/>
          <w:i/>
        </w:rPr>
        <w:t xml:space="preserve">) and/or Peer review (formal surveys).  </w:t>
      </w:r>
    </w:p>
    <w:p w:rsidR="0060577A" w:rsidRPr="00472C73" w:rsidRDefault="0060577A" w:rsidP="0060577A">
      <w:pPr>
        <w:ind w:left="709" w:hanging="709"/>
        <w:jc w:val="both"/>
        <w:rPr>
          <w:rFonts w:ascii="Arial" w:hAnsi="Arial" w:cs="Arial"/>
          <w:b/>
        </w:rPr>
      </w:pPr>
    </w:p>
    <w:p w:rsidR="005B1523" w:rsidRDefault="005B1523" w:rsidP="005B1523">
      <w:pPr>
        <w:ind w:left="720"/>
        <w:jc w:val="both"/>
        <w:rPr>
          <w:rFonts w:ascii="Arial" w:hAnsi="Arial" w:cs="Arial"/>
        </w:rPr>
      </w:pPr>
    </w:p>
    <w:p w:rsidR="0060577A" w:rsidRPr="0060577A" w:rsidRDefault="007A41E2" w:rsidP="007A41E2">
      <w:pPr>
        <w:ind w:left="720" w:hanging="720"/>
        <w:jc w:val="both"/>
        <w:rPr>
          <w:rFonts w:ascii="Arial" w:hAnsi="Arial" w:cs="Arial"/>
          <w:b/>
        </w:rPr>
      </w:pPr>
      <w:r>
        <w:rPr>
          <w:rFonts w:ascii="Arial" w:hAnsi="Arial" w:cs="Arial"/>
          <w:b/>
        </w:rPr>
        <w:t>3.7</w:t>
      </w:r>
      <w:r>
        <w:rPr>
          <w:rFonts w:ascii="Arial" w:hAnsi="Arial" w:cs="Arial"/>
          <w:b/>
        </w:rPr>
        <w:tab/>
      </w:r>
      <w:r w:rsidR="0060577A" w:rsidRPr="0060577A">
        <w:rPr>
          <w:rFonts w:ascii="Arial" w:hAnsi="Arial" w:cs="Arial"/>
          <w:b/>
        </w:rPr>
        <w:t>General observations</w:t>
      </w:r>
    </w:p>
    <w:p w:rsidR="0060577A" w:rsidRPr="0060577A" w:rsidRDefault="0060577A" w:rsidP="005B1523">
      <w:pPr>
        <w:ind w:left="720"/>
        <w:jc w:val="both"/>
        <w:rPr>
          <w:rFonts w:ascii="Arial" w:hAnsi="Arial" w:cs="Arial"/>
          <w:b/>
        </w:rPr>
      </w:pPr>
    </w:p>
    <w:p w:rsidR="00AA54F2" w:rsidRPr="003E1315" w:rsidRDefault="00AA54F2" w:rsidP="00AA54F2">
      <w:pPr>
        <w:ind w:left="720" w:hanging="720"/>
        <w:jc w:val="both"/>
        <w:rPr>
          <w:rFonts w:ascii="Arial" w:hAnsi="Arial" w:cs="Arial"/>
          <w:b/>
        </w:rPr>
      </w:pPr>
      <w:r>
        <w:rPr>
          <w:rFonts w:ascii="Arial" w:hAnsi="Arial" w:cs="Arial"/>
        </w:rPr>
        <w:tab/>
      </w:r>
      <w:r w:rsidRPr="003E1315">
        <w:rPr>
          <w:rFonts w:ascii="Arial" w:hAnsi="Arial" w:cs="Arial"/>
        </w:rPr>
        <w:t xml:space="preserve">As part of the review process, </w:t>
      </w:r>
      <w:r>
        <w:rPr>
          <w:rFonts w:ascii="Arial" w:hAnsi="Arial" w:cs="Arial"/>
        </w:rPr>
        <w:t>the Council’s intranet site was viewed to examine documentation and links relating to the Internal Audit service</w:t>
      </w:r>
      <w:r w:rsidRPr="003E1315">
        <w:rPr>
          <w:rFonts w:ascii="Arial" w:hAnsi="Arial" w:cs="Arial"/>
        </w:rPr>
        <w:t xml:space="preserve">. This process identified that </w:t>
      </w:r>
      <w:r>
        <w:rPr>
          <w:rFonts w:ascii="Arial" w:hAnsi="Arial" w:cs="Arial"/>
        </w:rPr>
        <w:t>information relating to Internal Audit was vastly out of date</w:t>
      </w:r>
      <w:r w:rsidRPr="003E1315">
        <w:rPr>
          <w:rFonts w:ascii="Arial" w:hAnsi="Arial" w:cs="Arial"/>
        </w:rPr>
        <w:t>.</w:t>
      </w:r>
      <w:r w:rsidRPr="003E1315">
        <w:rPr>
          <w:rFonts w:ascii="Arial" w:hAnsi="Arial" w:cs="Arial"/>
          <w:b/>
        </w:rPr>
        <w:t xml:space="preserve"> </w:t>
      </w:r>
    </w:p>
    <w:p w:rsidR="00AA54F2" w:rsidRPr="003E1315" w:rsidRDefault="00AA54F2" w:rsidP="00AA54F2">
      <w:pPr>
        <w:ind w:left="720" w:hanging="720"/>
        <w:jc w:val="both"/>
        <w:rPr>
          <w:rFonts w:ascii="Arial" w:hAnsi="Arial" w:cs="Arial"/>
          <w:b/>
        </w:rPr>
      </w:pPr>
    </w:p>
    <w:p w:rsidR="00D94187" w:rsidRDefault="00AA54F2" w:rsidP="0031155C">
      <w:pPr>
        <w:ind w:left="709"/>
        <w:jc w:val="both"/>
        <w:rPr>
          <w:rFonts w:ascii="Arial" w:hAnsi="Arial" w:cs="Arial"/>
          <w:b/>
        </w:rPr>
      </w:pPr>
      <w:r w:rsidRPr="003E1315">
        <w:rPr>
          <w:rFonts w:ascii="Arial" w:hAnsi="Arial" w:cs="Arial"/>
          <w:b/>
        </w:rPr>
        <w:t xml:space="preserve">Although this does not form part of the standards, it is recommended that the </w:t>
      </w:r>
      <w:r w:rsidR="0031155C">
        <w:rPr>
          <w:rFonts w:ascii="Arial" w:hAnsi="Arial" w:cs="Arial"/>
          <w:b/>
        </w:rPr>
        <w:t>intranet</w:t>
      </w:r>
      <w:r w:rsidRPr="003E1315">
        <w:rPr>
          <w:rFonts w:ascii="Arial" w:hAnsi="Arial" w:cs="Arial"/>
          <w:b/>
        </w:rPr>
        <w:t xml:space="preserve"> and appropriate search engines are reviewed to ensure up to date information</w:t>
      </w:r>
      <w:r>
        <w:rPr>
          <w:rFonts w:ascii="Arial" w:hAnsi="Arial" w:cs="Arial"/>
          <w:b/>
        </w:rPr>
        <w:t xml:space="preserve"> in relation to the Internal Audit service</w:t>
      </w:r>
      <w:r w:rsidRPr="003E1315">
        <w:rPr>
          <w:rFonts w:ascii="Arial" w:hAnsi="Arial" w:cs="Arial"/>
          <w:b/>
        </w:rPr>
        <w:t xml:space="preserve"> is available.</w:t>
      </w:r>
    </w:p>
    <w:p w:rsidR="00DF1E3A" w:rsidRDefault="00DF1E3A" w:rsidP="0031155C">
      <w:pPr>
        <w:ind w:left="709"/>
        <w:jc w:val="both"/>
        <w:rPr>
          <w:rFonts w:ascii="Arial" w:hAnsi="Arial" w:cs="Arial"/>
          <w:b/>
        </w:rPr>
      </w:pPr>
    </w:p>
    <w:p w:rsidR="00DF1E3A" w:rsidRPr="002E5919" w:rsidRDefault="00DF1E3A" w:rsidP="0031155C">
      <w:pPr>
        <w:ind w:left="709"/>
        <w:jc w:val="both"/>
        <w:rPr>
          <w:rFonts w:ascii="Arial" w:hAnsi="Arial" w:cs="Arial"/>
          <w:b/>
          <w:i/>
        </w:rPr>
      </w:pPr>
      <w:r w:rsidRPr="002E5919">
        <w:rPr>
          <w:rFonts w:ascii="Arial" w:hAnsi="Arial" w:cs="Arial"/>
          <w:b/>
          <w:i/>
        </w:rPr>
        <w:t>Agreed Action</w:t>
      </w:r>
    </w:p>
    <w:p w:rsidR="00DF1E3A" w:rsidRPr="002E5919" w:rsidRDefault="00565F8D" w:rsidP="0031155C">
      <w:pPr>
        <w:ind w:left="709"/>
        <w:jc w:val="both"/>
        <w:rPr>
          <w:rFonts w:ascii="Arial" w:hAnsi="Arial" w:cs="Arial"/>
          <w:i/>
        </w:rPr>
      </w:pPr>
      <w:r w:rsidRPr="002E5919">
        <w:rPr>
          <w:rFonts w:ascii="Arial" w:hAnsi="Arial" w:cs="Arial"/>
          <w:i/>
        </w:rPr>
        <w:t xml:space="preserve">JADU </w:t>
      </w:r>
      <w:r w:rsidR="00DF1E3A" w:rsidRPr="002E5919">
        <w:rPr>
          <w:rFonts w:ascii="Arial" w:hAnsi="Arial" w:cs="Arial"/>
          <w:i/>
        </w:rPr>
        <w:t xml:space="preserve">Training to be arranged (during 2017/18) to enable Internal Audit to update the </w:t>
      </w:r>
      <w:r w:rsidRPr="002E5919">
        <w:rPr>
          <w:rFonts w:ascii="Arial" w:hAnsi="Arial" w:cs="Arial"/>
          <w:i/>
        </w:rPr>
        <w:t>Council’s intranet site. T</w:t>
      </w:r>
      <w:r w:rsidR="00DF1E3A" w:rsidRPr="002E5919">
        <w:rPr>
          <w:rFonts w:ascii="Arial" w:hAnsi="Arial" w:cs="Arial"/>
          <w:i/>
        </w:rPr>
        <w:t xml:space="preserve">he site will be updated </w:t>
      </w:r>
      <w:r w:rsidR="00E36254" w:rsidRPr="002E5919">
        <w:rPr>
          <w:rFonts w:ascii="Arial" w:hAnsi="Arial" w:cs="Arial"/>
          <w:i/>
        </w:rPr>
        <w:t xml:space="preserve">at the beginning of </w:t>
      </w:r>
      <w:r w:rsidRPr="002E5919">
        <w:rPr>
          <w:rFonts w:ascii="Arial" w:hAnsi="Arial" w:cs="Arial"/>
          <w:i/>
        </w:rPr>
        <w:t>the new financial year (</w:t>
      </w:r>
      <w:r w:rsidR="00E36254" w:rsidRPr="002E5919">
        <w:rPr>
          <w:rFonts w:ascii="Arial" w:hAnsi="Arial" w:cs="Arial"/>
          <w:i/>
        </w:rPr>
        <w:t>2018/19</w:t>
      </w:r>
      <w:r w:rsidRPr="002E5919">
        <w:rPr>
          <w:rFonts w:ascii="Arial" w:hAnsi="Arial" w:cs="Arial"/>
          <w:i/>
        </w:rPr>
        <w:t>)</w:t>
      </w:r>
      <w:r w:rsidR="00E36254" w:rsidRPr="002E5919">
        <w:rPr>
          <w:rFonts w:ascii="Arial" w:hAnsi="Arial" w:cs="Arial"/>
          <w:i/>
        </w:rPr>
        <w:t xml:space="preserve"> and maintained up to date thereafter.</w:t>
      </w:r>
    </w:p>
    <w:p w:rsidR="004A4923" w:rsidRDefault="004A4923" w:rsidP="004A4923">
      <w:pPr>
        <w:ind w:left="720" w:hanging="720"/>
        <w:jc w:val="both"/>
        <w:rPr>
          <w:rFonts w:ascii="Arial" w:hAnsi="Arial" w:cs="Arial"/>
        </w:rPr>
      </w:pPr>
    </w:p>
    <w:p w:rsidR="004A4923" w:rsidRPr="005B1523" w:rsidRDefault="004A4923" w:rsidP="004A4923">
      <w:pPr>
        <w:ind w:left="720" w:hanging="720"/>
        <w:jc w:val="both"/>
        <w:rPr>
          <w:rFonts w:ascii="Arial" w:hAnsi="Arial" w:cs="Arial"/>
        </w:rPr>
      </w:pPr>
    </w:p>
    <w:p w:rsidR="00E36A26" w:rsidRDefault="007A41E2" w:rsidP="007A41E2">
      <w:pPr>
        <w:ind w:left="720" w:hanging="720"/>
        <w:jc w:val="both"/>
        <w:rPr>
          <w:rFonts w:ascii="Arial" w:hAnsi="Arial" w:cs="Arial"/>
          <w:b/>
        </w:rPr>
      </w:pPr>
      <w:r>
        <w:rPr>
          <w:rFonts w:ascii="Arial" w:hAnsi="Arial" w:cs="Arial"/>
          <w:b/>
        </w:rPr>
        <w:t>3.8</w:t>
      </w:r>
      <w:r>
        <w:rPr>
          <w:rFonts w:ascii="Arial" w:hAnsi="Arial" w:cs="Arial"/>
          <w:b/>
        </w:rPr>
        <w:tab/>
      </w:r>
      <w:r w:rsidR="004A4923">
        <w:rPr>
          <w:rFonts w:ascii="Arial" w:hAnsi="Arial" w:cs="Arial"/>
          <w:b/>
        </w:rPr>
        <w:t>Impact of internal Audit</w:t>
      </w:r>
    </w:p>
    <w:p w:rsidR="004A4923" w:rsidRPr="004A4923" w:rsidRDefault="004A4923" w:rsidP="005B1523">
      <w:pPr>
        <w:ind w:left="720"/>
        <w:jc w:val="both"/>
        <w:rPr>
          <w:rFonts w:ascii="Arial" w:hAnsi="Arial" w:cs="Arial"/>
        </w:rPr>
      </w:pPr>
    </w:p>
    <w:p w:rsidR="004A4923" w:rsidRDefault="004A4923" w:rsidP="00710096">
      <w:pPr>
        <w:ind w:left="720" w:hanging="720"/>
        <w:jc w:val="both"/>
        <w:rPr>
          <w:rFonts w:ascii="Arial" w:hAnsi="Arial" w:cs="Arial"/>
        </w:rPr>
      </w:pPr>
      <w:r>
        <w:rPr>
          <w:rFonts w:ascii="Arial" w:hAnsi="Arial" w:cs="Arial"/>
        </w:rPr>
        <w:tab/>
        <w:t xml:space="preserve">In addition to a review of conformance with the </w:t>
      </w:r>
      <w:r w:rsidR="00710096">
        <w:rPr>
          <w:rFonts w:ascii="Arial" w:hAnsi="Arial" w:cs="Arial"/>
        </w:rPr>
        <w:t>standards</w:t>
      </w:r>
      <w:r>
        <w:rPr>
          <w:rFonts w:ascii="Arial" w:hAnsi="Arial" w:cs="Arial"/>
        </w:rPr>
        <w:t>, the</w:t>
      </w:r>
      <w:r w:rsidR="00710096">
        <w:rPr>
          <w:rFonts w:ascii="Arial" w:hAnsi="Arial" w:cs="Arial"/>
        </w:rPr>
        <w:t xml:space="preserve"> review sought to gain an understanding of stakeholder views of the impact of the service.</w:t>
      </w:r>
      <w:r w:rsidRPr="004A4923">
        <w:rPr>
          <w:rFonts w:ascii="Arial" w:hAnsi="Arial" w:cs="Arial"/>
        </w:rPr>
        <w:tab/>
      </w:r>
      <w:r w:rsidR="00710096">
        <w:rPr>
          <w:rFonts w:ascii="Arial" w:hAnsi="Arial" w:cs="Arial"/>
        </w:rPr>
        <w:t xml:space="preserve"> Based on interviews with key stakeholders and a review of the </w:t>
      </w:r>
      <w:r w:rsidR="000D6D1F">
        <w:rPr>
          <w:rFonts w:ascii="Arial" w:hAnsi="Arial" w:cs="Arial"/>
        </w:rPr>
        <w:t>customer surveys from</w:t>
      </w:r>
      <w:r w:rsidR="00710096">
        <w:rPr>
          <w:rFonts w:ascii="Arial" w:hAnsi="Arial" w:cs="Arial"/>
        </w:rPr>
        <w:t xml:space="preserve"> other Chief Officers it is concluded that:</w:t>
      </w:r>
    </w:p>
    <w:p w:rsidR="00710096" w:rsidRDefault="00710096" w:rsidP="00710096">
      <w:pPr>
        <w:pStyle w:val="ListParagraph"/>
        <w:numPr>
          <w:ilvl w:val="0"/>
          <w:numId w:val="3"/>
        </w:numPr>
        <w:jc w:val="both"/>
        <w:rPr>
          <w:rFonts w:ascii="Arial" w:hAnsi="Arial" w:cs="Arial"/>
        </w:rPr>
      </w:pPr>
      <w:r>
        <w:rPr>
          <w:rFonts w:ascii="Arial" w:hAnsi="Arial" w:cs="Arial"/>
        </w:rPr>
        <w:t>The service is well regarded</w:t>
      </w:r>
    </w:p>
    <w:p w:rsidR="00710096" w:rsidRDefault="00710096" w:rsidP="00710096">
      <w:pPr>
        <w:pStyle w:val="ListParagraph"/>
        <w:numPr>
          <w:ilvl w:val="0"/>
          <w:numId w:val="3"/>
        </w:numPr>
        <w:jc w:val="both"/>
        <w:rPr>
          <w:rFonts w:ascii="Arial" w:hAnsi="Arial" w:cs="Arial"/>
        </w:rPr>
      </w:pPr>
      <w:r>
        <w:rPr>
          <w:rFonts w:ascii="Arial" w:hAnsi="Arial" w:cs="Arial"/>
        </w:rPr>
        <w:t>Audit staff are considered professional</w:t>
      </w:r>
    </w:p>
    <w:p w:rsidR="00710096" w:rsidRDefault="00710096" w:rsidP="00710096">
      <w:pPr>
        <w:pStyle w:val="ListParagraph"/>
        <w:numPr>
          <w:ilvl w:val="0"/>
          <w:numId w:val="3"/>
        </w:numPr>
        <w:jc w:val="both"/>
        <w:rPr>
          <w:rFonts w:ascii="Arial" w:hAnsi="Arial" w:cs="Arial"/>
        </w:rPr>
      </w:pPr>
      <w:r>
        <w:rPr>
          <w:rFonts w:ascii="Arial" w:hAnsi="Arial" w:cs="Arial"/>
        </w:rPr>
        <w:t xml:space="preserve">Internal audit work is well focused in areas of risk to </w:t>
      </w:r>
      <w:r w:rsidR="003C44E3">
        <w:rPr>
          <w:rFonts w:ascii="Arial" w:hAnsi="Arial" w:cs="Arial"/>
        </w:rPr>
        <w:t>Council</w:t>
      </w:r>
      <w:r>
        <w:rPr>
          <w:rFonts w:ascii="Arial" w:hAnsi="Arial" w:cs="Arial"/>
        </w:rPr>
        <w:t xml:space="preserve"> objectives</w:t>
      </w:r>
    </w:p>
    <w:p w:rsidR="00710096" w:rsidRDefault="00710096" w:rsidP="00710096">
      <w:pPr>
        <w:pStyle w:val="ListParagraph"/>
        <w:numPr>
          <w:ilvl w:val="0"/>
          <w:numId w:val="3"/>
        </w:numPr>
        <w:jc w:val="both"/>
        <w:rPr>
          <w:rFonts w:ascii="Arial" w:hAnsi="Arial" w:cs="Arial"/>
        </w:rPr>
      </w:pPr>
      <w:r>
        <w:rPr>
          <w:rFonts w:ascii="Arial" w:hAnsi="Arial" w:cs="Arial"/>
        </w:rPr>
        <w:t>Recommendations are regarded as pragmatic and generally useful.</w:t>
      </w:r>
    </w:p>
    <w:p w:rsidR="0049091B" w:rsidRDefault="0049091B" w:rsidP="0049091B">
      <w:pPr>
        <w:jc w:val="both"/>
        <w:rPr>
          <w:rFonts w:ascii="Arial" w:hAnsi="Arial" w:cs="Arial"/>
        </w:rPr>
      </w:pPr>
    </w:p>
    <w:p w:rsidR="0049091B" w:rsidRPr="003E1315" w:rsidRDefault="0049091B" w:rsidP="0049091B">
      <w:pPr>
        <w:tabs>
          <w:tab w:val="left" w:pos="3899"/>
        </w:tabs>
        <w:ind w:left="720"/>
        <w:rPr>
          <w:rFonts w:ascii="Arial" w:hAnsi="Arial" w:cs="Arial"/>
        </w:rPr>
      </w:pPr>
      <w:r w:rsidRPr="003E1315">
        <w:rPr>
          <w:rFonts w:ascii="Arial" w:hAnsi="Arial" w:cs="Arial"/>
        </w:rPr>
        <w:t>In general, the feedback was extremely positive:</w:t>
      </w:r>
    </w:p>
    <w:p w:rsidR="0049091B" w:rsidRPr="003E1315" w:rsidRDefault="0049091B" w:rsidP="0049091B">
      <w:pPr>
        <w:tabs>
          <w:tab w:val="left" w:pos="3899"/>
        </w:tabs>
        <w:ind w:left="720"/>
        <w:rPr>
          <w:rFonts w:ascii="Arial" w:hAnsi="Arial" w:cs="Arial"/>
        </w:rPr>
      </w:pPr>
    </w:p>
    <w:p w:rsidR="0049091B" w:rsidRPr="003E1315" w:rsidRDefault="0049091B" w:rsidP="0049091B">
      <w:pPr>
        <w:pStyle w:val="ListParagraph"/>
        <w:numPr>
          <w:ilvl w:val="0"/>
          <w:numId w:val="9"/>
        </w:numPr>
        <w:tabs>
          <w:tab w:val="left" w:pos="1943"/>
        </w:tabs>
        <w:spacing w:after="240"/>
        <w:jc w:val="both"/>
        <w:rPr>
          <w:rFonts w:ascii="Arial" w:hAnsi="Arial" w:cs="Arial"/>
        </w:rPr>
      </w:pPr>
      <w:r>
        <w:rPr>
          <w:rFonts w:ascii="Arial" w:hAnsi="Arial" w:cs="Arial"/>
          <w:b/>
        </w:rPr>
        <w:t>94</w:t>
      </w:r>
      <w:r w:rsidRPr="003E1315">
        <w:rPr>
          <w:rFonts w:ascii="Arial" w:hAnsi="Arial" w:cs="Arial"/>
          <w:b/>
        </w:rPr>
        <w:t>%</w:t>
      </w:r>
      <w:r w:rsidRPr="003E1315">
        <w:rPr>
          <w:rFonts w:ascii="Arial" w:hAnsi="Arial" w:cs="Arial"/>
        </w:rPr>
        <w:t xml:space="preserve"> of respondents fully or generally agreed that the audit service is delivered with professionalism at all times;</w:t>
      </w:r>
    </w:p>
    <w:p w:rsidR="0049091B" w:rsidRPr="003E1315" w:rsidRDefault="0049091B" w:rsidP="0049091B">
      <w:pPr>
        <w:pStyle w:val="ListParagraph"/>
        <w:numPr>
          <w:ilvl w:val="0"/>
          <w:numId w:val="9"/>
        </w:numPr>
        <w:tabs>
          <w:tab w:val="left" w:pos="1943"/>
        </w:tabs>
        <w:spacing w:after="240"/>
        <w:jc w:val="both"/>
        <w:rPr>
          <w:rFonts w:ascii="Arial" w:hAnsi="Arial" w:cs="Arial"/>
        </w:rPr>
      </w:pPr>
      <w:r>
        <w:rPr>
          <w:rFonts w:ascii="Arial" w:hAnsi="Arial" w:cs="Arial"/>
          <w:b/>
        </w:rPr>
        <w:t>94</w:t>
      </w:r>
      <w:r w:rsidRPr="003E1315">
        <w:rPr>
          <w:rFonts w:ascii="Arial" w:hAnsi="Arial" w:cs="Arial"/>
          <w:b/>
        </w:rPr>
        <w:t>%</w:t>
      </w:r>
      <w:r w:rsidRPr="003E1315">
        <w:rPr>
          <w:rFonts w:ascii="Arial" w:hAnsi="Arial" w:cs="Arial"/>
        </w:rPr>
        <w:t xml:space="preserve"> of respondents fully or generally agreed that the service </w:t>
      </w:r>
      <w:r>
        <w:rPr>
          <w:rFonts w:ascii="Arial" w:hAnsi="Arial" w:cs="Arial"/>
        </w:rPr>
        <w:t>is adept at communicating the results of its findings, building support and securing agreed outcomes</w:t>
      </w:r>
      <w:r w:rsidRPr="003E1315">
        <w:rPr>
          <w:rFonts w:ascii="Arial" w:hAnsi="Arial" w:cs="Arial"/>
        </w:rPr>
        <w:t>;</w:t>
      </w:r>
    </w:p>
    <w:p w:rsidR="0049091B" w:rsidRPr="003E1315" w:rsidRDefault="0049091B" w:rsidP="0049091B">
      <w:pPr>
        <w:pStyle w:val="ListParagraph"/>
        <w:numPr>
          <w:ilvl w:val="0"/>
          <w:numId w:val="9"/>
        </w:numPr>
        <w:tabs>
          <w:tab w:val="left" w:pos="1943"/>
        </w:tabs>
        <w:spacing w:after="240"/>
        <w:jc w:val="both"/>
        <w:rPr>
          <w:rFonts w:ascii="Arial" w:hAnsi="Arial" w:cs="Arial"/>
        </w:rPr>
      </w:pPr>
      <w:r>
        <w:rPr>
          <w:rFonts w:ascii="Arial" w:hAnsi="Arial" w:cs="Arial"/>
          <w:b/>
        </w:rPr>
        <w:t>93</w:t>
      </w:r>
      <w:r w:rsidRPr="003E1315">
        <w:rPr>
          <w:rFonts w:ascii="Arial" w:hAnsi="Arial" w:cs="Arial"/>
          <w:b/>
        </w:rPr>
        <w:t>%</w:t>
      </w:r>
      <w:r w:rsidRPr="003E1315">
        <w:rPr>
          <w:rFonts w:ascii="Arial" w:hAnsi="Arial" w:cs="Arial"/>
        </w:rPr>
        <w:t xml:space="preserve"> of respondents fully or generally agreed that there had been no significant control breakdown or surprises in areas that had been positively assured by internal audit; </w:t>
      </w:r>
    </w:p>
    <w:p w:rsidR="0049091B" w:rsidRDefault="0049091B" w:rsidP="0049091B">
      <w:pPr>
        <w:pStyle w:val="ListParagraph"/>
        <w:numPr>
          <w:ilvl w:val="0"/>
          <w:numId w:val="9"/>
        </w:numPr>
        <w:tabs>
          <w:tab w:val="left" w:pos="1943"/>
        </w:tabs>
        <w:spacing w:after="240"/>
        <w:jc w:val="both"/>
        <w:rPr>
          <w:rFonts w:ascii="Arial" w:hAnsi="Arial" w:cs="Arial"/>
        </w:rPr>
      </w:pPr>
      <w:r>
        <w:rPr>
          <w:rFonts w:ascii="Arial" w:hAnsi="Arial" w:cs="Arial"/>
          <w:b/>
        </w:rPr>
        <w:t>100</w:t>
      </w:r>
      <w:r w:rsidRPr="003E1315">
        <w:rPr>
          <w:rFonts w:ascii="Arial" w:hAnsi="Arial" w:cs="Arial"/>
          <w:b/>
        </w:rPr>
        <w:t>%</w:t>
      </w:r>
      <w:r w:rsidRPr="003E1315">
        <w:rPr>
          <w:rFonts w:ascii="Arial" w:hAnsi="Arial" w:cs="Arial"/>
        </w:rPr>
        <w:t xml:space="preserve"> of respondents fully or generally agreed that the internal audit service has a positive impact on the governance, risk and the system of control of the organisation.</w:t>
      </w:r>
    </w:p>
    <w:p w:rsidR="007D712D" w:rsidRPr="007D712D" w:rsidRDefault="007D712D" w:rsidP="0049091B">
      <w:pPr>
        <w:pStyle w:val="ListParagraph"/>
        <w:numPr>
          <w:ilvl w:val="0"/>
          <w:numId w:val="9"/>
        </w:numPr>
        <w:tabs>
          <w:tab w:val="left" w:pos="1943"/>
        </w:tabs>
        <w:spacing w:after="240"/>
        <w:jc w:val="both"/>
        <w:rPr>
          <w:rFonts w:ascii="Arial" w:hAnsi="Arial" w:cs="Arial"/>
        </w:rPr>
      </w:pPr>
      <w:r w:rsidRPr="00E65DE8">
        <w:rPr>
          <w:rFonts w:ascii="Arial" w:hAnsi="Arial" w:cs="Arial"/>
          <w:b/>
        </w:rPr>
        <w:t>89%</w:t>
      </w:r>
      <w:r w:rsidRPr="007D712D">
        <w:rPr>
          <w:rFonts w:ascii="Arial" w:hAnsi="Arial" w:cs="Arial"/>
        </w:rPr>
        <w:t xml:space="preserve"> of respondents fully or generally agreed that the internal audit service has a positive impact.</w:t>
      </w:r>
    </w:p>
    <w:p w:rsidR="0049091B" w:rsidRPr="003E1315" w:rsidRDefault="0049091B" w:rsidP="0049091B">
      <w:pPr>
        <w:tabs>
          <w:tab w:val="left" w:pos="1943"/>
        </w:tabs>
        <w:ind w:left="709" w:hanging="709"/>
        <w:jc w:val="both"/>
        <w:rPr>
          <w:rFonts w:ascii="Arial" w:hAnsi="Arial" w:cs="Arial"/>
        </w:rPr>
      </w:pPr>
      <w:r w:rsidRPr="003E1315">
        <w:rPr>
          <w:rFonts w:ascii="Arial" w:hAnsi="Arial" w:cs="Arial"/>
        </w:rPr>
        <w:lastRenderedPageBreak/>
        <w:t xml:space="preserve"> </w:t>
      </w:r>
      <w:r w:rsidRPr="003E1315">
        <w:rPr>
          <w:rFonts w:ascii="Arial" w:hAnsi="Arial" w:cs="Arial"/>
        </w:rPr>
        <w:tab/>
        <w:t>The questionnaires did highlight some opportunities for improvement</w:t>
      </w:r>
      <w:r w:rsidR="004F3FB3">
        <w:rPr>
          <w:rFonts w:ascii="Arial" w:hAnsi="Arial" w:cs="Arial"/>
        </w:rPr>
        <w:t xml:space="preserve"> although none provide for any significant cause for concern.</w:t>
      </w:r>
      <w:r w:rsidRPr="003E1315">
        <w:rPr>
          <w:rFonts w:ascii="Arial" w:hAnsi="Arial" w:cs="Arial"/>
        </w:rPr>
        <w:t xml:space="preserve"> </w:t>
      </w:r>
      <w:r w:rsidR="004F3FB3">
        <w:rPr>
          <w:rFonts w:ascii="Arial" w:hAnsi="Arial" w:cs="Arial"/>
        </w:rPr>
        <w:t>F</w:t>
      </w:r>
      <w:r w:rsidRPr="003E1315">
        <w:rPr>
          <w:rFonts w:ascii="Arial" w:hAnsi="Arial" w:cs="Arial"/>
        </w:rPr>
        <w:t xml:space="preserve">or example, </w:t>
      </w:r>
      <w:r>
        <w:rPr>
          <w:rFonts w:ascii="Arial" w:hAnsi="Arial" w:cs="Arial"/>
        </w:rPr>
        <w:t>38</w:t>
      </w:r>
      <w:r w:rsidRPr="003E1315">
        <w:rPr>
          <w:rFonts w:ascii="Arial" w:hAnsi="Arial" w:cs="Arial"/>
          <w:b/>
        </w:rPr>
        <w:t>%</w:t>
      </w:r>
      <w:r w:rsidRPr="003E1315">
        <w:rPr>
          <w:rFonts w:ascii="Arial" w:hAnsi="Arial" w:cs="Arial"/>
        </w:rPr>
        <w:t xml:space="preserve"> of the respondents said they either did not agree or only partially agreed that Internal Audit </w:t>
      </w:r>
      <w:r>
        <w:rPr>
          <w:rFonts w:ascii="Arial" w:hAnsi="Arial" w:cs="Arial"/>
        </w:rPr>
        <w:t>has sufficient resources and access to information to enable it to fulfil its mandate</w:t>
      </w:r>
      <w:r w:rsidRPr="003E1315">
        <w:rPr>
          <w:rFonts w:ascii="Arial" w:hAnsi="Arial" w:cs="Arial"/>
        </w:rPr>
        <w:t>.</w:t>
      </w:r>
      <w:r>
        <w:rPr>
          <w:rFonts w:ascii="Arial" w:hAnsi="Arial" w:cs="Arial"/>
        </w:rPr>
        <w:t xml:space="preserve"> 17% of respondents also said they either did not agree or only partially agreed that the service </w:t>
      </w:r>
      <w:r w:rsidR="004F3FB3">
        <w:rPr>
          <w:rFonts w:ascii="Arial" w:hAnsi="Arial" w:cs="Arial"/>
        </w:rPr>
        <w:t>is valued throughout the organisation, responds</w:t>
      </w:r>
      <w:r>
        <w:rPr>
          <w:rFonts w:ascii="Arial" w:hAnsi="Arial" w:cs="Arial"/>
        </w:rPr>
        <w:t xml:space="preserve"> quickly to organisation</w:t>
      </w:r>
      <w:r w:rsidR="004F3FB3">
        <w:rPr>
          <w:rFonts w:ascii="Arial" w:hAnsi="Arial" w:cs="Arial"/>
        </w:rPr>
        <w:t>al</w:t>
      </w:r>
      <w:r>
        <w:rPr>
          <w:rFonts w:ascii="Arial" w:hAnsi="Arial" w:cs="Arial"/>
        </w:rPr>
        <w:t xml:space="preserve"> changes and is seen as a strategic partner.</w:t>
      </w:r>
    </w:p>
    <w:p w:rsidR="0049091B" w:rsidRPr="0049091B" w:rsidRDefault="0049091B" w:rsidP="0049091B">
      <w:pPr>
        <w:jc w:val="both"/>
        <w:rPr>
          <w:rFonts w:ascii="Arial" w:hAnsi="Arial" w:cs="Arial"/>
        </w:rPr>
      </w:pPr>
    </w:p>
    <w:p w:rsidR="00710096" w:rsidRDefault="004F3FB3" w:rsidP="00710096">
      <w:pPr>
        <w:ind w:left="720"/>
        <w:jc w:val="both"/>
        <w:rPr>
          <w:rFonts w:ascii="Arial" w:hAnsi="Arial" w:cs="Arial"/>
        </w:rPr>
      </w:pPr>
      <w:r>
        <w:rPr>
          <w:rFonts w:ascii="Arial" w:hAnsi="Arial" w:cs="Arial"/>
        </w:rPr>
        <w:t>This was reflected in interviews with a sample of respondents where it was</w:t>
      </w:r>
      <w:r w:rsidR="00710096">
        <w:rPr>
          <w:rFonts w:ascii="Arial" w:hAnsi="Arial" w:cs="Arial"/>
        </w:rPr>
        <w:t xml:space="preserve"> noted that, although the team has a number of very experienced members</w:t>
      </w:r>
      <w:r w:rsidR="00A73C6F">
        <w:rPr>
          <w:rFonts w:ascii="Arial" w:hAnsi="Arial" w:cs="Arial"/>
        </w:rPr>
        <w:t xml:space="preserve"> of staff</w:t>
      </w:r>
      <w:r w:rsidR="00710096">
        <w:rPr>
          <w:rFonts w:ascii="Arial" w:hAnsi="Arial" w:cs="Arial"/>
        </w:rPr>
        <w:t xml:space="preserve">, </w:t>
      </w:r>
      <w:r w:rsidR="00D94187">
        <w:rPr>
          <w:rFonts w:ascii="Arial" w:hAnsi="Arial" w:cs="Arial"/>
        </w:rPr>
        <w:t>significant reliance is placed on the HIA as the main source of advice, particularly in relation to more strategic areas and those involving fraud</w:t>
      </w:r>
      <w:r w:rsidR="00710096">
        <w:rPr>
          <w:rFonts w:ascii="Arial" w:hAnsi="Arial" w:cs="Arial"/>
        </w:rPr>
        <w:t xml:space="preserve">. </w:t>
      </w:r>
      <w:r w:rsidR="00710096" w:rsidRPr="00710096">
        <w:rPr>
          <w:rFonts w:ascii="Arial" w:hAnsi="Arial" w:cs="Arial"/>
        </w:rPr>
        <w:t xml:space="preserve"> </w:t>
      </w:r>
    </w:p>
    <w:p w:rsidR="00D94187" w:rsidRDefault="00D94187" w:rsidP="00710096">
      <w:pPr>
        <w:ind w:left="720"/>
        <w:jc w:val="both"/>
        <w:rPr>
          <w:rFonts w:ascii="Arial" w:hAnsi="Arial" w:cs="Arial"/>
        </w:rPr>
      </w:pPr>
    </w:p>
    <w:p w:rsidR="00D94187" w:rsidRDefault="00D94187" w:rsidP="00710096">
      <w:pPr>
        <w:ind w:left="720"/>
        <w:jc w:val="both"/>
        <w:rPr>
          <w:rFonts w:ascii="Arial" w:hAnsi="Arial" w:cs="Arial"/>
        </w:rPr>
      </w:pPr>
      <w:r>
        <w:rPr>
          <w:rFonts w:ascii="Arial" w:hAnsi="Arial" w:cs="Arial"/>
        </w:rPr>
        <w:t xml:space="preserve">Whilst the profile of the audit service is good, concerns were raised </w:t>
      </w:r>
      <w:r w:rsidR="007D712D">
        <w:rPr>
          <w:rFonts w:ascii="Arial" w:hAnsi="Arial" w:cs="Arial"/>
        </w:rPr>
        <w:t>about whether Internal audit are</w:t>
      </w:r>
      <w:r>
        <w:rPr>
          <w:rFonts w:ascii="Arial" w:hAnsi="Arial" w:cs="Arial"/>
        </w:rPr>
        <w:t xml:space="preserve"> sufficiently involved in some of the Council’s key areas of activity and risk such as partnership deals, regeneration and outsourcing. Whilst the service has an important role to play in providing advice on risks and controls</w:t>
      </w:r>
      <w:r w:rsidR="003C342C">
        <w:rPr>
          <w:rFonts w:ascii="Arial" w:hAnsi="Arial" w:cs="Arial"/>
        </w:rPr>
        <w:t>, it is</w:t>
      </w:r>
      <w:r>
        <w:rPr>
          <w:rFonts w:ascii="Arial" w:hAnsi="Arial" w:cs="Arial"/>
        </w:rPr>
        <w:t xml:space="preserve"> not given </w:t>
      </w:r>
      <w:r w:rsidR="003C342C">
        <w:rPr>
          <w:rFonts w:ascii="Arial" w:hAnsi="Arial" w:cs="Arial"/>
        </w:rPr>
        <w:t>the opportunity to be  involved either at all, or early enough within the process to be properly effective. There is a balance to be made between advisory work and regular audit assurance work however the former has an important place in ensuring that risk and control issues are picked up early and dealt with to prevent issues arising in the future. Support from senior officers and in particular</w:t>
      </w:r>
      <w:r w:rsidR="00866BE3">
        <w:rPr>
          <w:rFonts w:ascii="Arial" w:hAnsi="Arial" w:cs="Arial"/>
        </w:rPr>
        <w:t>ly, the Chief Executive is</w:t>
      </w:r>
      <w:r w:rsidR="003C342C">
        <w:rPr>
          <w:rFonts w:ascii="Arial" w:hAnsi="Arial" w:cs="Arial"/>
        </w:rPr>
        <w:t xml:space="preserve"> essential in ensuring</w:t>
      </w:r>
      <w:r w:rsidR="00866BE3">
        <w:rPr>
          <w:rFonts w:ascii="Arial" w:hAnsi="Arial" w:cs="Arial"/>
        </w:rPr>
        <w:t xml:space="preserve"> that the Internal Audit team are utilised in the most effective way. This means ensuring that the organisation recognises the value that the service brings and in particular, what skills and expertise can and should be drawn upon. </w:t>
      </w:r>
    </w:p>
    <w:p w:rsidR="00710096" w:rsidRDefault="00710096" w:rsidP="00710096">
      <w:pPr>
        <w:ind w:left="720"/>
        <w:jc w:val="both"/>
        <w:rPr>
          <w:rFonts w:ascii="Arial" w:hAnsi="Arial" w:cs="Arial"/>
        </w:rPr>
      </w:pPr>
    </w:p>
    <w:p w:rsidR="00710096" w:rsidRDefault="00866BE3" w:rsidP="00710096">
      <w:pPr>
        <w:ind w:left="720"/>
        <w:jc w:val="both"/>
        <w:rPr>
          <w:rFonts w:ascii="Arial" w:hAnsi="Arial" w:cs="Arial"/>
        </w:rPr>
      </w:pPr>
      <w:r>
        <w:rPr>
          <w:rFonts w:ascii="Arial" w:hAnsi="Arial" w:cs="Arial"/>
        </w:rPr>
        <w:t>The HIA</w:t>
      </w:r>
      <w:r w:rsidR="00710096">
        <w:rPr>
          <w:rFonts w:ascii="Arial" w:hAnsi="Arial" w:cs="Arial"/>
        </w:rPr>
        <w:t xml:space="preserve"> recognises the need to raise the profile of the team in some parts of the organisation</w:t>
      </w:r>
      <w:r>
        <w:rPr>
          <w:rFonts w:ascii="Arial" w:hAnsi="Arial" w:cs="Arial"/>
        </w:rPr>
        <w:t xml:space="preserve"> and to ensure that there is more consistent involvement of Internal Audit in key projects</w:t>
      </w:r>
      <w:r w:rsidR="00710096">
        <w:rPr>
          <w:rFonts w:ascii="Arial" w:hAnsi="Arial" w:cs="Arial"/>
        </w:rPr>
        <w:t xml:space="preserve">. Care will need to be taken in </w:t>
      </w:r>
      <w:r>
        <w:rPr>
          <w:rFonts w:ascii="Arial" w:hAnsi="Arial" w:cs="Arial"/>
        </w:rPr>
        <w:t>getting the right balance</w:t>
      </w:r>
      <w:r w:rsidR="00F45E08">
        <w:rPr>
          <w:rFonts w:ascii="Arial" w:hAnsi="Arial" w:cs="Arial"/>
        </w:rPr>
        <w:t>,</w:t>
      </w:r>
      <w:r w:rsidR="00710096">
        <w:rPr>
          <w:rFonts w:ascii="Arial" w:hAnsi="Arial" w:cs="Arial"/>
        </w:rPr>
        <w:t xml:space="preserve"> as this could have resource implications</w:t>
      </w:r>
      <w:r w:rsidR="000028EF">
        <w:rPr>
          <w:rFonts w:ascii="Arial" w:hAnsi="Arial" w:cs="Arial"/>
        </w:rPr>
        <w:t xml:space="preserve"> </w:t>
      </w:r>
      <w:r>
        <w:rPr>
          <w:rFonts w:ascii="Arial" w:hAnsi="Arial" w:cs="Arial"/>
        </w:rPr>
        <w:t>which could impact on</w:t>
      </w:r>
      <w:r w:rsidR="000028EF">
        <w:rPr>
          <w:rFonts w:ascii="Arial" w:hAnsi="Arial" w:cs="Arial"/>
        </w:rPr>
        <w:t xml:space="preserve"> the level of assurance work undertaken.</w:t>
      </w:r>
      <w:r w:rsidR="00800D0C">
        <w:rPr>
          <w:rFonts w:ascii="Arial" w:hAnsi="Arial" w:cs="Arial"/>
        </w:rPr>
        <w:t xml:space="preserve"> The issues around resilience, capacity and over reliance on the HIA also need to be considered. The HIA and other senior officers accept that currently, reliance is placed on the HIA to undertake this type of work and this is not sustainable in the longer term without support from other members of the team</w:t>
      </w:r>
      <w:r w:rsidR="002E5919">
        <w:rPr>
          <w:rFonts w:ascii="Arial" w:hAnsi="Arial" w:cs="Arial"/>
        </w:rPr>
        <w:t>.</w:t>
      </w:r>
      <w:r w:rsidR="00800D0C">
        <w:rPr>
          <w:rFonts w:ascii="Arial" w:hAnsi="Arial" w:cs="Arial"/>
        </w:rPr>
        <w:t xml:space="preserve"> </w:t>
      </w:r>
    </w:p>
    <w:p w:rsidR="00800D0C" w:rsidRDefault="00800D0C" w:rsidP="00710096">
      <w:pPr>
        <w:ind w:left="720"/>
        <w:jc w:val="both"/>
        <w:rPr>
          <w:rFonts w:ascii="Arial" w:hAnsi="Arial" w:cs="Arial"/>
        </w:rPr>
      </w:pPr>
    </w:p>
    <w:p w:rsidR="00800D0C" w:rsidRPr="00A92332" w:rsidRDefault="004A74A2" w:rsidP="00710096">
      <w:pPr>
        <w:ind w:left="720"/>
        <w:jc w:val="both"/>
        <w:rPr>
          <w:rFonts w:ascii="Arial" w:hAnsi="Arial" w:cs="Arial"/>
          <w:b/>
        </w:rPr>
      </w:pPr>
      <w:r w:rsidRPr="00A92332">
        <w:rPr>
          <w:rFonts w:ascii="Arial" w:hAnsi="Arial" w:cs="Arial"/>
          <w:b/>
        </w:rPr>
        <w:t>Consideration needs to be given to the role of Internal Audit within the organisation and how it can add value and be most effective. This needs to come from the top of the organisation through establishing clear protocol for involving Internal Audit in major projects</w:t>
      </w:r>
      <w:r w:rsidR="004F3FB3">
        <w:rPr>
          <w:rFonts w:ascii="Arial" w:hAnsi="Arial" w:cs="Arial"/>
          <w:b/>
        </w:rPr>
        <w:t>, for example where the Council is considering or implementing alternative delivery vehicles, where significant procurement activity is taking place or where systems are redesigned or new systems implemented.</w:t>
      </w:r>
      <w:r w:rsidRPr="00A92332">
        <w:rPr>
          <w:rFonts w:ascii="Arial" w:hAnsi="Arial" w:cs="Arial"/>
          <w:b/>
        </w:rPr>
        <w:t xml:space="preserve"> </w:t>
      </w:r>
      <w:r w:rsidR="00A92332" w:rsidRPr="00A92332">
        <w:rPr>
          <w:rFonts w:ascii="Arial" w:hAnsi="Arial" w:cs="Arial"/>
          <w:b/>
        </w:rPr>
        <w:t xml:space="preserve">This will raise the profile of </w:t>
      </w:r>
      <w:r w:rsidR="00A92332">
        <w:rPr>
          <w:rFonts w:ascii="Arial" w:hAnsi="Arial" w:cs="Arial"/>
          <w:b/>
        </w:rPr>
        <w:t xml:space="preserve">Internal </w:t>
      </w:r>
      <w:r w:rsidR="00A92332" w:rsidRPr="00A92332">
        <w:rPr>
          <w:rFonts w:ascii="Arial" w:hAnsi="Arial" w:cs="Arial"/>
          <w:b/>
        </w:rPr>
        <w:t xml:space="preserve">Audit and ensure </w:t>
      </w:r>
      <w:r w:rsidR="00A92332">
        <w:rPr>
          <w:rFonts w:ascii="Arial" w:hAnsi="Arial" w:cs="Arial"/>
          <w:b/>
        </w:rPr>
        <w:t>that it has</w:t>
      </w:r>
      <w:r w:rsidR="00A92332" w:rsidRPr="00A92332">
        <w:rPr>
          <w:rFonts w:ascii="Arial" w:hAnsi="Arial" w:cs="Arial"/>
          <w:b/>
        </w:rPr>
        <w:t xml:space="preserve"> greater opportunity to influence at an earlier stage</w:t>
      </w:r>
      <w:r w:rsidR="00692910">
        <w:rPr>
          <w:rFonts w:ascii="Arial" w:hAnsi="Arial" w:cs="Arial"/>
          <w:b/>
        </w:rPr>
        <w:t xml:space="preserve"> </w:t>
      </w:r>
      <w:r w:rsidR="004F3FB3">
        <w:rPr>
          <w:rFonts w:ascii="Arial" w:hAnsi="Arial" w:cs="Arial"/>
          <w:b/>
        </w:rPr>
        <w:t xml:space="preserve">in providing advice on </w:t>
      </w:r>
      <w:r w:rsidR="00A92332" w:rsidRPr="00A92332">
        <w:rPr>
          <w:rFonts w:ascii="Arial" w:hAnsi="Arial" w:cs="Arial"/>
          <w:b/>
        </w:rPr>
        <w:t xml:space="preserve">systems and controls and in helping to identify and manage risks to acceptable levels. In order to facilitate this, a review of the current structure of Internal Audit would </w:t>
      </w:r>
      <w:r w:rsidR="00A92332" w:rsidRPr="00A92332">
        <w:rPr>
          <w:rFonts w:ascii="Arial" w:hAnsi="Arial" w:cs="Arial"/>
          <w:b/>
        </w:rPr>
        <w:lastRenderedPageBreak/>
        <w:t>need to be undertaken as currently, there is insufficient c</w:t>
      </w:r>
      <w:r w:rsidR="00A92332">
        <w:rPr>
          <w:rFonts w:ascii="Arial" w:hAnsi="Arial" w:cs="Arial"/>
          <w:b/>
        </w:rPr>
        <w:t>apacity within the team outside of the HIA (see 3.3</w:t>
      </w:r>
      <w:r w:rsidR="00A92332" w:rsidRPr="00A92332">
        <w:rPr>
          <w:rFonts w:ascii="Arial" w:hAnsi="Arial" w:cs="Arial"/>
          <w:b/>
        </w:rPr>
        <w:t xml:space="preserve"> above).</w:t>
      </w:r>
    </w:p>
    <w:p w:rsidR="00917DCA" w:rsidRDefault="00917DCA" w:rsidP="00917DCA">
      <w:pPr>
        <w:rPr>
          <w:rFonts w:ascii="Arial" w:hAnsi="Arial" w:cs="Arial"/>
        </w:rPr>
      </w:pPr>
    </w:p>
    <w:p w:rsidR="007555F5" w:rsidRPr="004A4923" w:rsidRDefault="007555F5" w:rsidP="00917DCA">
      <w:pPr>
        <w:rPr>
          <w:rFonts w:ascii="Arial" w:hAnsi="Arial" w:cs="Arial"/>
        </w:rPr>
      </w:pPr>
    </w:p>
    <w:p w:rsidR="007555F5" w:rsidRDefault="007555F5">
      <w:pPr>
        <w:rPr>
          <w:rFonts w:ascii="Arial" w:hAnsi="Arial" w:cs="Arial"/>
          <w:b/>
          <w:i/>
        </w:rPr>
      </w:pPr>
      <w:r>
        <w:rPr>
          <w:rFonts w:ascii="Arial" w:hAnsi="Arial" w:cs="Arial"/>
        </w:rPr>
        <w:tab/>
      </w:r>
      <w:r w:rsidRPr="007555F5">
        <w:rPr>
          <w:rFonts w:ascii="Arial" w:hAnsi="Arial" w:cs="Arial"/>
          <w:b/>
          <w:i/>
        </w:rPr>
        <w:t>Agreed Action</w:t>
      </w:r>
    </w:p>
    <w:p w:rsidR="007555F5" w:rsidRDefault="007555F5" w:rsidP="007555F5">
      <w:pPr>
        <w:ind w:left="720"/>
        <w:rPr>
          <w:rFonts w:ascii="Arial" w:hAnsi="Arial" w:cs="Arial"/>
          <w:i/>
        </w:rPr>
      </w:pPr>
      <w:r>
        <w:rPr>
          <w:rFonts w:ascii="Arial" w:hAnsi="Arial" w:cs="Arial"/>
          <w:i/>
        </w:rPr>
        <w:t>Each year as part of the annual planning process discussions are held with Divisional and Corporate Directors on how Internal Audit can add value and be most effective.</w:t>
      </w:r>
    </w:p>
    <w:p w:rsidR="007555F5" w:rsidRDefault="007555F5" w:rsidP="007555F5">
      <w:pPr>
        <w:ind w:left="720"/>
        <w:rPr>
          <w:rFonts w:ascii="Arial" w:hAnsi="Arial" w:cs="Arial"/>
          <w:i/>
        </w:rPr>
      </w:pPr>
    </w:p>
    <w:p w:rsidR="007555F5" w:rsidRDefault="007555F5" w:rsidP="007555F5">
      <w:pPr>
        <w:ind w:left="720"/>
        <w:rPr>
          <w:rFonts w:ascii="Arial" w:hAnsi="Arial" w:cs="Arial"/>
          <w:i/>
        </w:rPr>
      </w:pPr>
      <w:r>
        <w:rPr>
          <w:rFonts w:ascii="Arial" w:hAnsi="Arial" w:cs="Arial"/>
          <w:i/>
        </w:rPr>
        <w:t xml:space="preserve">CSB will be asked to support a </w:t>
      </w:r>
      <w:r w:rsidRPr="007555F5">
        <w:rPr>
          <w:rFonts w:ascii="Arial" w:hAnsi="Arial" w:cs="Arial"/>
          <w:i/>
        </w:rPr>
        <w:t xml:space="preserve">protocol for involving Internal Audit in major projects, for example where the Council is considering or implementing alternative delivery vehicles, where significant procurement activity is taking place or where systems are redesigned or new systems implemented. </w:t>
      </w:r>
      <w:r>
        <w:rPr>
          <w:rFonts w:ascii="Arial" w:hAnsi="Arial" w:cs="Arial"/>
          <w:i/>
        </w:rPr>
        <w:t>Consideration to be given to including this requirement in Financial Regulations.</w:t>
      </w:r>
    </w:p>
    <w:p w:rsidR="007555F5" w:rsidRDefault="007555F5" w:rsidP="007555F5">
      <w:pPr>
        <w:ind w:left="720"/>
        <w:rPr>
          <w:rFonts w:ascii="Arial" w:hAnsi="Arial" w:cs="Arial"/>
          <w:i/>
        </w:rPr>
      </w:pPr>
    </w:p>
    <w:p w:rsidR="00F20CA3" w:rsidRPr="007555F5" w:rsidRDefault="007B2B58" w:rsidP="007555F5">
      <w:pPr>
        <w:ind w:left="720"/>
        <w:rPr>
          <w:rFonts w:ascii="Arial" w:hAnsi="Arial" w:cs="Arial"/>
          <w:b/>
          <w:i/>
        </w:rPr>
      </w:pPr>
      <w:r>
        <w:rPr>
          <w:rFonts w:ascii="Arial" w:hAnsi="Arial" w:cs="Arial"/>
          <w:i/>
        </w:rPr>
        <w:t>See also response to 3.3 above.</w:t>
      </w:r>
      <w:r w:rsidR="00F20CA3" w:rsidRPr="007555F5">
        <w:rPr>
          <w:rFonts w:ascii="Arial" w:hAnsi="Arial" w:cs="Arial"/>
          <w:b/>
          <w:i/>
        </w:rPr>
        <w:br w:type="page"/>
      </w:r>
    </w:p>
    <w:tbl>
      <w:tblPr>
        <w:tblW w:w="9180" w:type="dxa"/>
        <w:tblBorders>
          <w:bottom w:val="single" w:sz="18" w:space="0" w:color="C40012"/>
        </w:tblBorders>
        <w:tblLayout w:type="fixed"/>
        <w:tblCellMar>
          <w:left w:w="0" w:type="dxa"/>
        </w:tblCellMar>
        <w:tblLook w:val="00A0" w:firstRow="1" w:lastRow="0" w:firstColumn="1" w:lastColumn="0" w:noHBand="0" w:noVBand="0"/>
      </w:tblPr>
      <w:tblGrid>
        <w:gridCol w:w="141"/>
        <w:gridCol w:w="9039"/>
      </w:tblGrid>
      <w:tr w:rsidR="00F20CA3" w:rsidTr="00F20CA3">
        <w:trPr>
          <w:trHeight w:val="801"/>
        </w:trPr>
        <w:tc>
          <w:tcPr>
            <w:tcW w:w="77" w:type="pct"/>
            <w:tcBorders>
              <w:top w:val="nil"/>
              <w:left w:val="nil"/>
              <w:bottom w:val="single" w:sz="18" w:space="0" w:color="C40012"/>
              <w:right w:val="nil"/>
            </w:tcBorders>
            <w:vAlign w:val="bottom"/>
          </w:tcPr>
          <w:p w:rsidR="00F20CA3" w:rsidRDefault="00F20CA3">
            <w:pPr>
              <w:pStyle w:val="AnnexNumber"/>
              <w:spacing w:line="240" w:lineRule="auto"/>
              <w:rPr>
                <w:sz w:val="60"/>
                <w:szCs w:val="60"/>
              </w:rPr>
            </w:pPr>
          </w:p>
        </w:tc>
        <w:tc>
          <w:tcPr>
            <w:tcW w:w="4923" w:type="pct"/>
            <w:tcBorders>
              <w:top w:val="nil"/>
              <w:left w:val="nil"/>
              <w:bottom w:val="single" w:sz="18" w:space="0" w:color="C40012"/>
              <w:right w:val="nil"/>
            </w:tcBorders>
            <w:tcMar>
              <w:top w:w="0" w:type="dxa"/>
              <w:left w:w="0" w:type="dxa"/>
              <w:bottom w:w="57" w:type="dxa"/>
              <w:right w:w="108" w:type="dxa"/>
            </w:tcMar>
            <w:vAlign w:val="bottom"/>
            <w:hideMark/>
          </w:tcPr>
          <w:p w:rsidR="00F20CA3" w:rsidRDefault="00F20CA3">
            <w:pPr>
              <w:pStyle w:val="AnnexHeading"/>
              <w:spacing w:line="240" w:lineRule="auto"/>
            </w:pPr>
            <w:r>
              <w:rPr>
                <w:color w:val="auto"/>
              </w:rPr>
              <w:t>Summary assessment</w:t>
            </w:r>
          </w:p>
        </w:tc>
      </w:tr>
    </w:tbl>
    <w:p w:rsidR="00F20CA3" w:rsidRDefault="00F20CA3" w:rsidP="00F20CA3">
      <w:pPr>
        <w:pStyle w:val="AnnexBodyText"/>
        <w:numPr>
          <w:ilvl w:val="0"/>
          <w:numId w:val="0"/>
        </w:numPr>
        <w:tabs>
          <w:tab w:val="left" w:pos="720"/>
        </w:tabs>
        <w:spacing w:after="0" w:line="240" w:lineRule="auto"/>
      </w:pPr>
    </w:p>
    <w:tbl>
      <w:tblPr>
        <w:tblW w:w="9720" w:type="dxa"/>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398"/>
        <w:gridCol w:w="1554"/>
        <w:gridCol w:w="397"/>
        <w:gridCol w:w="851"/>
        <w:gridCol w:w="708"/>
        <w:gridCol w:w="312"/>
        <w:gridCol w:w="397"/>
        <w:gridCol w:w="28"/>
        <w:gridCol w:w="681"/>
        <w:gridCol w:w="709"/>
        <w:gridCol w:w="595"/>
        <w:gridCol w:w="425"/>
        <w:gridCol w:w="2268"/>
        <w:gridCol w:w="397"/>
      </w:tblGrid>
      <w:tr w:rsidR="00F20CA3" w:rsidTr="00F20CA3">
        <w:trPr>
          <w:cantSplit/>
          <w:trHeight w:val="1014"/>
        </w:trPr>
        <w:tc>
          <w:tcPr>
            <w:tcW w:w="397" w:type="dxa"/>
            <w:tcBorders>
              <w:top w:val="single" w:sz="8" w:space="0" w:color="C0504D"/>
              <w:left w:val="single" w:sz="8" w:space="0" w:color="C0504D"/>
              <w:bottom w:val="single" w:sz="8" w:space="0" w:color="C0504D"/>
              <w:right w:val="single" w:sz="12" w:space="0" w:color="C00000"/>
            </w:tcBorders>
            <w:shd w:val="clear" w:color="auto" w:fill="C41200"/>
          </w:tcPr>
          <w:p w:rsidR="00F20CA3" w:rsidRDefault="00F20CA3">
            <w:pPr>
              <w:pStyle w:val="BodyText3"/>
              <w:spacing w:before="60" w:after="60"/>
              <w:rPr>
                <w:color w:val="FFFFFF"/>
              </w:rPr>
            </w:pPr>
          </w:p>
        </w:tc>
        <w:tc>
          <w:tcPr>
            <w:tcW w:w="2802" w:type="dxa"/>
            <w:gridSpan w:val="3"/>
            <w:tcBorders>
              <w:top w:val="single" w:sz="8" w:space="0" w:color="C0504D"/>
              <w:left w:val="nil"/>
              <w:bottom w:val="single" w:sz="8" w:space="0" w:color="C0504D"/>
              <w:right w:val="single" w:sz="12" w:space="0" w:color="C00000"/>
            </w:tcBorders>
            <w:shd w:val="clear" w:color="auto" w:fill="C41200"/>
          </w:tcPr>
          <w:p w:rsidR="00F20CA3" w:rsidRDefault="00F20CA3">
            <w:pPr>
              <w:pStyle w:val="BodyText3"/>
              <w:spacing w:before="60" w:after="60"/>
              <w:rPr>
                <w:color w:val="FFFFFF"/>
              </w:rPr>
            </w:pPr>
          </w:p>
        </w:tc>
        <w:tc>
          <w:tcPr>
            <w:tcW w:w="708" w:type="dxa"/>
            <w:tcBorders>
              <w:top w:val="single" w:sz="8" w:space="0" w:color="C0504D"/>
              <w:left w:val="single" w:sz="8" w:space="0" w:color="C0504D"/>
              <w:bottom w:val="single" w:sz="8" w:space="0" w:color="C0504D"/>
              <w:right w:val="single" w:sz="8" w:space="0" w:color="C0504D"/>
            </w:tcBorders>
            <w:shd w:val="clear" w:color="auto" w:fill="C41200"/>
            <w:textDirection w:val="btLr"/>
            <w:hideMark/>
          </w:tcPr>
          <w:p w:rsidR="00F20CA3" w:rsidRDefault="00F20CA3">
            <w:pPr>
              <w:pStyle w:val="BodyText3"/>
              <w:spacing w:before="60" w:after="60"/>
              <w:ind w:left="113" w:right="113"/>
              <w:rPr>
                <w:color w:val="FFFFFF"/>
              </w:rPr>
            </w:pPr>
            <w:r>
              <w:rPr>
                <w:color w:val="FFFFFF"/>
              </w:rPr>
              <w:t>Does not conform</w:t>
            </w:r>
          </w:p>
        </w:tc>
        <w:tc>
          <w:tcPr>
            <w:tcW w:w="709" w:type="dxa"/>
            <w:gridSpan w:val="2"/>
            <w:tcBorders>
              <w:top w:val="single" w:sz="8" w:space="0" w:color="C0504D"/>
              <w:left w:val="single" w:sz="8" w:space="0" w:color="C0504D"/>
              <w:bottom w:val="single" w:sz="8" w:space="0" w:color="C0504D"/>
              <w:right w:val="single" w:sz="8" w:space="0" w:color="C0504D"/>
            </w:tcBorders>
            <w:shd w:val="clear" w:color="auto" w:fill="C41200"/>
            <w:textDirection w:val="btLr"/>
            <w:hideMark/>
          </w:tcPr>
          <w:p w:rsidR="00F20CA3" w:rsidRDefault="00F20CA3">
            <w:pPr>
              <w:pStyle w:val="BodyText3"/>
              <w:spacing w:before="60" w:after="60"/>
              <w:ind w:left="113" w:right="113"/>
              <w:rPr>
                <w:color w:val="FFFFFF"/>
              </w:rPr>
            </w:pPr>
            <w:r>
              <w:rPr>
                <w:color w:val="FFFFFF"/>
              </w:rPr>
              <w:t>Partially conforms</w:t>
            </w:r>
          </w:p>
        </w:tc>
        <w:tc>
          <w:tcPr>
            <w:tcW w:w="709" w:type="dxa"/>
            <w:gridSpan w:val="2"/>
            <w:tcBorders>
              <w:top w:val="single" w:sz="8" w:space="0" w:color="C0504D"/>
              <w:left w:val="single" w:sz="8" w:space="0" w:color="C0504D"/>
              <w:bottom w:val="single" w:sz="8" w:space="0" w:color="C0504D"/>
              <w:right w:val="single" w:sz="8" w:space="0" w:color="C0504D"/>
            </w:tcBorders>
            <w:shd w:val="clear" w:color="auto" w:fill="C41200"/>
            <w:textDirection w:val="btLr"/>
            <w:hideMark/>
          </w:tcPr>
          <w:p w:rsidR="00F20CA3" w:rsidRDefault="00F20CA3">
            <w:pPr>
              <w:pStyle w:val="BodyText3"/>
              <w:spacing w:before="60" w:after="60"/>
              <w:ind w:left="113" w:right="113"/>
              <w:rPr>
                <w:color w:val="FFFFFF"/>
              </w:rPr>
            </w:pPr>
            <w:r>
              <w:rPr>
                <w:color w:val="FFFFFF"/>
              </w:rPr>
              <w:t>Generally conforms</w:t>
            </w:r>
          </w:p>
        </w:tc>
        <w:tc>
          <w:tcPr>
            <w:tcW w:w="709" w:type="dxa"/>
            <w:tcBorders>
              <w:top w:val="single" w:sz="8" w:space="0" w:color="C0504D"/>
              <w:left w:val="single" w:sz="8" w:space="0" w:color="C0504D"/>
              <w:bottom w:val="single" w:sz="8" w:space="0" w:color="C0504D"/>
              <w:right w:val="single" w:sz="8" w:space="0" w:color="C0504D"/>
            </w:tcBorders>
            <w:shd w:val="clear" w:color="auto" w:fill="C41200"/>
            <w:textDirection w:val="btLr"/>
            <w:hideMark/>
          </w:tcPr>
          <w:p w:rsidR="00F20CA3" w:rsidRDefault="00F20CA3">
            <w:pPr>
              <w:pStyle w:val="BodyText3"/>
              <w:spacing w:before="60" w:after="60"/>
              <w:ind w:left="113" w:right="113"/>
              <w:rPr>
                <w:color w:val="FFFFFF"/>
              </w:rPr>
            </w:pPr>
            <w:r>
              <w:rPr>
                <w:color w:val="FFFFFF"/>
              </w:rPr>
              <w:t>Fully conforms</w:t>
            </w:r>
          </w:p>
        </w:tc>
        <w:tc>
          <w:tcPr>
            <w:tcW w:w="3685" w:type="dxa"/>
            <w:gridSpan w:val="4"/>
            <w:tcBorders>
              <w:top w:val="single" w:sz="8" w:space="0" w:color="C0504D"/>
              <w:left w:val="single" w:sz="8" w:space="0" w:color="C0504D"/>
              <w:bottom w:val="single" w:sz="8" w:space="0" w:color="C0504D"/>
              <w:right w:val="single" w:sz="8" w:space="0" w:color="C0504D"/>
            </w:tcBorders>
            <w:shd w:val="clear" w:color="auto" w:fill="C41200"/>
            <w:vAlign w:val="bottom"/>
            <w:hideMark/>
          </w:tcPr>
          <w:p w:rsidR="00F20CA3" w:rsidRDefault="00F20CA3">
            <w:pPr>
              <w:pStyle w:val="BodyText3"/>
              <w:spacing w:before="60" w:after="60"/>
              <w:rPr>
                <w:color w:val="FFFFFF"/>
              </w:rPr>
            </w:pPr>
            <w:r>
              <w:rPr>
                <w:color w:val="FFFFFF"/>
              </w:rPr>
              <w:t>Comments</w:t>
            </w:r>
          </w:p>
        </w:tc>
      </w:tr>
      <w:tr w:rsidR="00F20CA3" w:rsidTr="00F20CA3">
        <w:tc>
          <w:tcPr>
            <w:tcW w:w="397" w:type="dxa"/>
            <w:tcBorders>
              <w:top w:val="single" w:sz="8" w:space="0" w:color="C0504D"/>
              <w:left w:val="single" w:sz="8" w:space="0" w:color="C0504D"/>
              <w:bottom w:val="single" w:sz="8" w:space="0" w:color="C0504D"/>
              <w:right w:val="single" w:sz="12" w:space="0" w:color="C00000"/>
            </w:tcBorders>
            <w:shd w:val="clear" w:color="auto" w:fill="C41200"/>
          </w:tcPr>
          <w:p w:rsidR="00F20CA3" w:rsidRDefault="00F20CA3">
            <w:pPr>
              <w:pStyle w:val="BodyText3"/>
              <w:spacing w:before="60" w:after="60"/>
              <w:rPr>
                <w:color w:val="FFFFFF"/>
              </w:rPr>
            </w:pPr>
          </w:p>
        </w:tc>
        <w:tc>
          <w:tcPr>
            <w:tcW w:w="2802" w:type="dxa"/>
            <w:gridSpan w:val="3"/>
            <w:tcBorders>
              <w:top w:val="single" w:sz="8" w:space="0" w:color="C0504D"/>
              <w:left w:val="nil"/>
              <w:bottom w:val="single" w:sz="8" w:space="0" w:color="C0504D"/>
              <w:right w:val="single" w:sz="12" w:space="0" w:color="C00000"/>
            </w:tcBorders>
            <w:shd w:val="clear" w:color="auto" w:fill="C41200"/>
            <w:hideMark/>
          </w:tcPr>
          <w:p w:rsidR="00F20CA3" w:rsidRDefault="00F20CA3">
            <w:pPr>
              <w:pStyle w:val="BodyText3"/>
              <w:spacing w:before="60" w:after="60"/>
            </w:pPr>
            <w:r>
              <w:rPr>
                <w:color w:val="FFFFFF"/>
              </w:rPr>
              <w:t>Purpose &amp; positioning</w:t>
            </w:r>
          </w:p>
        </w:tc>
        <w:tc>
          <w:tcPr>
            <w:tcW w:w="708" w:type="dxa"/>
            <w:tcBorders>
              <w:top w:val="single" w:sz="8" w:space="0" w:color="C0504D"/>
              <w:left w:val="single" w:sz="8" w:space="0" w:color="C0504D"/>
              <w:bottom w:val="single" w:sz="8" w:space="0" w:color="C0504D"/>
              <w:right w:val="nil"/>
            </w:tcBorders>
            <w:shd w:val="clear" w:color="auto" w:fill="C41200"/>
          </w:tcPr>
          <w:p w:rsidR="00F20CA3" w:rsidRDefault="00F20CA3">
            <w:pPr>
              <w:pStyle w:val="BodyText3"/>
              <w:spacing w:before="60" w:after="60"/>
              <w:rPr>
                <w:color w:val="FFFFFF"/>
              </w:rPr>
            </w:pPr>
          </w:p>
        </w:tc>
        <w:tc>
          <w:tcPr>
            <w:tcW w:w="709" w:type="dxa"/>
            <w:gridSpan w:val="2"/>
            <w:tcBorders>
              <w:top w:val="single" w:sz="8" w:space="0" w:color="C0504D"/>
              <w:left w:val="nil"/>
              <w:bottom w:val="single" w:sz="8" w:space="0" w:color="C0504D"/>
              <w:right w:val="nil"/>
            </w:tcBorders>
            <w:shd w:val="clear" w:color="auto" w:fill="C41200"/>
          </w:tcPr>
          <w:p w:rsidR="00F20CA3" w:rsidRDefault="00F20CA3">
            <w:pPr>
              <w:pStyle w:val="BodyText3"/>
              <w:spacing w:before="60" w:after="60"/>
              <w:rPr>
                <w:color w:val="FFFFFF"/>
              </w:rPr>
            </w:pPr>
          </w:p>
        </w:tc>
        <w:tc>
          <w:tcPr>
            <w:tcW w:w="709" w:type="dxa"/>
            <w:gridSpan w:val="2"/>
            <w:tcBorders>
              <w:top w:val="single" w:sz="8" w:space="0" w:color="C0504D"/>
              <w:left w:val="nil"/>
              <w:bottom w:val="single" w:sz="8" w:space="0" w:color="C0504D"/>
              <w:right w:val="nil"/>
            </w:tcBorders>
            <w:shd w:val="clear" w:color="auto" w:fill="C41200"/>
          </w:tcPr>
          <w:p w:rsidR="00F20CA3" w:rsidRDefault="00F20CA3">
            <w:pPr>
              <w:pStyle w:val="BodyText3"/>
              <w:spacing w:before="60" w:after="60"/>
              <w:rPr>
                <w:color w:val="FFFFFF"/>
              </w:rPr>
            </w:pPr>
          </w:p>
        </w:tc>
        <w:tc>
          <w:tcPr>
            <w:tcW w:w="709" w:type="dxa"/>
            <w:tcBorders>
              <w:top w:val="single" w:sz="8" w:space="0" w:color="C0504D"/>
              <w:left w:val="nil"/>
              <w:bottom w:val="single" w:sz="8" w:space="0" w:color="C0504D"/>
              <w:right w:val="nil"/>
            </w:tcBorders>
            <w:shd w:val="clear" w:color="auto" w:fill="C41200"/>
          </w:tcPr>
          <w:p w:rsidR="00F20CA3" w:rsidRDefault="00F20CA3">
            <w:pPr>
              <w:pStyle w:val="BodyText3"/>
              <w:spacing w:before="60" w:after="60"/>
              <w:rPr>
                <w:color w:val="FFFFFF"/>
              </w:rPr>
            </w:pPr>
          </w:p>
        </w:tc>
        <w:tc>
          <w:tcPr>
            <w:tcW w:w="3685" w:type="dxa"/>
            <w:gridSpan w:val="4"/>
            <w:tcBorders>
              <w:top w:val="single" w:sz="8" w:space="0" w:color="C0504D"/>
              <w:left w:val="nil"/>
              <w:bottom w:val="single" w:sz="8" w:space="0" w:color="C0504D"/>
              <w:right w:val="single" w:sz="8" w:space="0" w:color="C0504D"/>
            </w:tcBorders>
            <w:shd w:val="clear" w:color="auto" w:fill="C41200"/>
          </w:tcPr>
          <w:p w:rsidR="00F20CA3" w:rsidRDefault="00F20CA3">
            <w:pPr>
              <w:pStyle w:val="BodyText3"/>
              <w:spacing w:before="60" w:after="60"/>
              <w:rPr>
                <w:color w:val="FFFFFF"/>
              </w:rPr>
            </w:pPr>
          </w:p>
        </w:tc>
      </w:tr>
      <w:tr w:rsidR="00F20CA3" w:rsidTr="00F20CA3">
        <w:trPr>
          <w:trHeight w:val="293"/>
        </w:trPr>
        <w:tc>
          <w:tcPr>
            <w:tcW w:w="397" w:type="dxa"/>
            <w:tcBorders>
              <w:top w:val="single" w:sz="8" w:space="0" w:color="C0504D"/>
              <w:left w:val="single" w:sz="8" w:space="0" w:color="C0504D"/>
              <w:bottom w:val="single" w:sz="8" w:space="0" w:color="C0504D"/>
              <w:right w:val="single" w:sz="12" w:space="0" w:color="C00000"/>
            </w:tcBorders>
          </w:tcPr>
          <w:p w:rsidR="00F20CA3" w:rsidRDefault="00F20CA3" w:rsidP="00F20CA3">
            <w:pPr>
              <w:numPr>
                <w:ilvl w:val="0"/>
                <w:numId w:val="7"/>
              </w:numPr>
              <w:ind w:left="318" w:hanging="284"/>
              <w:rPr>
                <w:rFonts w:ascii="Humnst777 Lt BT" w:hAnsi="Humnst777 Lt BT"/>
                <w:sz w:val="20"/>
                <w:szCs w:val="20"/>
              </w:rPr>
            </w:pPr>
          </w:p>
        </w:tc>
        <w:tc>
          <w:tcPr>
            <w:tcW w:w="2802" w:type="dxa"/>
            <w:gridSpan w:val="3"/>
            <w:tcBorders>
              <w:top w:val="single" w:sz="8" w:space="0" w:color="C0504D"/>
              <w:left w:val="nil"/>
              <w:bottom w:val="single" w:sz="8" w:space="0" w:color="C0504D"/>
              <w:right w:val="single" w:sz="12" w:space="0" w:color="C00000"/>
            </w:tcBorders>
            <w:hideMark/>
          </w:tcPr>
          <w:p w:rsidR="00F20CA3" w:rsidRDefault="00F20CA3" w:rsidP="00F20CA3">
            <w:pPr>
              <w:numPr>
                <w:ilvl w:val="0"/>
                <w:numId w:val="7"/>
              </w:numPr>
              <w:ind w:left="318" w:hanging="284"/>
              <w:rPr>
                <w:rFonts w:ascii="Humnst777 Lt BT" w:hAnsi="Humnst777 Lt BT"/>
                <w:sz w:val="20"/>
                <w:szCs w:val="20"/>
              </w:rPr>
            </w:pPr>
            <w:r>
              <w:rPr>
                <w:sz w:val="20"/>
                <w:szCs w:val="20"/>
              </w:rPr>
              <w:t>Remit</w:t>
            </w:r>
          </w:p>
        </w:tc>
        <w:tc>
          <w:tcPr>
            <w:tcW w:w="708" w:type="dxa"/>
            <w:tcBorders>
              <w:top w:val="single" w:sz="8" w:space="0" w:color="C0504D"/>
              <w:left w:val="single" w:sz="12" w:space="0" w:color="C00000"/>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gridSpan w:val="2"/>
            <w:tcBorders>
              <w:top w:val="single" w:sz="8" w:space="0" w:color="C0504D"/>
              <w:left w:val="single" w:sz="8" w:space="0" w:color="C0504D"/>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gridSpan w:val="2"/>
            <w:tcBorders>
              <w:top w:val="single" w:sz="8" w:space="0" w:color="C0504D"/>
              <w:left w:val="single" w:sz="8" w:space="0" w:color="C0504D"/>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tcBorders>
              <w:top w:val="single" w:sz="8" w:space="0" w:color="C0504D"/>
              <w:left w:val="single" w:sz="8" w:space="0" w:color="C0504D"/>
              <w:bottom w:val="single" w:sz="8" w:space="0" w:color="C0504D"/>
              <w:right w:val="single" w:sz="8" w:space="0" w:color="C0504D"/>
            </w:tcBorders>
          </w:tcPr>
          <w:p w:rsidR="00F20CA3" w:rsidRDefault="000509BB">
            <w:pPr>
              <w:ind w:left="34"/>
              <w:rPr>
                <w:rFonts w:ascii="Humnst777 Lt BT" w:hAnsi="Humnst777 Lt BT"/>
                <w:sz w:val="20"/>
                <w:szCs w:val="20"/>
              </w:rPr>
            </w:pPr>
            <w:r>
              <w:rPr>
                <w:rFonts w:ascii="Humnst777 Lt BT" w:hAnsi="Humnst777 Lt BT"/>
                <w:sz w:val="20"/>
                <w:szCs w:val="20"/>
              </w:rPr>
              <w:t>X</w:t>
            </w:r>
          </w:p>
        </w:tc>
        <w:tc>
          <w:tcPr>
            <w:tcW w:w="3685" w:type="dxa"/>
            <w:gridSpan w:val="4"/>
            <w:tcBorders>
              <w:top w:val="single" w:sz="8" w:space="0" w:color="C0504D"/>
              <w:left w:val="single" w:sz="8" w:space="0" w:color="C0504D"/>
              <w:bottom w:val="single" w:sz="8" w:space="0" w:color="C0504D"/>
              <w:right w:val="single" w:sz="8" w:space="0" w:color="C0504D"/>
            </w:tcBorders>
          </w:tcPr>
          <w:p w:rsidR="00F20CA3" w:rsidRDefault="00F20CA3">
            <w:pPr>
              <w:ind w:left="34"/>
              <w:rPr>
                <w:rFonts w:ascii="Humnst777 Lt BT" w:hAnsi="Humnst777 Lt BT"/>
                <w:sz w:val="20"/>
                <w:szCs w:val="20"/>
              </w:rPr>
            </w:pPr>
          </w:p>
        </w:tc>
      </w:tr>
      <w:tr w:rsidR="00F20CA3" w:rsidTr="00F20CA3">
        <w:trPr>
          <w:trHeight w:val="275"/>
        </w:trPr>
        <w:tc>
          <w:tcPr>
            <w:tcW w:w="397" w:type="dxa"/>
            <w:tcBorders>
              <w:top w:val="single" w:sz="8" w:space="0" w:color="C0504D"/>
              <w:left w:val="single" w:sz="8" w:space="0" w:color="C0504D"/>
              <w:bottom w:val="single" w:sz="8" w:space="0" w:color="C0504D"/>
              <w:right w:val="single" w:sz="12" w:space="0" w:color="C00000"/>
            </w:tcBorders>
          </w:tcPr>
          <w:p w:rsidR="00F20CA3" w:rsidRDefault="00F20CA3" w:rsidP="00F20CA3">
            <w:pPr>
              <w:numPr>
                <w:ilvl w:val="0"/>
                <w:numId w:val="7"/>
              </w:numPr>
              <w:ind w:left="318" w:hanging="284"/>
              <w:rPr>
                <w:rFonts w:ascii="Humnst777 Lt BT" w:hAnsi="Humnst777 Lt BT"/>
                <w:sz w:val="20"/>
                <w:szCs w:val="20"/>
              </w:rPr>
            </w:pPr>
          </w:p>
        </w:tc>
        <w:tc>
          <w:tcPr>
            <w:tcW w:w="2802" w:type="dxa"/>
            <w:gridSpan w:val="3"/>
            <w:tcBorders>
              <w:top w:val="single" w:sz="8" w:space="0" w:color="C0504D"/>
              <w:left w:val="nil"/>
              <w:bottom w:val="single" w:sz="8" w:space="0" w:color="C0504D"/>
              <w:right w:val="single" w:sz="12" w:space="0" w:color="C00000"/>
            </w:tcBorders>
            <w:hideMark/>
          </w:tcPr>
          <w:p w:rsidR="00F20CA3" w:rsidRDefault="00F20CA3" w:rsidP="00F20CA3">
            <w:pPr>
              <w:numPr>
                <w:ilvl w:val="0"/>
                <w:numId w:val="7"/>
              </w:numPr>
              <w:ind w:left="318" w:hanging="284"/>
              <w:rPr>
                <w:rFonts w:ascii="Humnst777 Lt BT" w:hAnsi="Humnst777 Lt BT"/>
                <w:sz w:val="20"/>
                <w:szCs w:val="20"/>
              </w:rPr>
            </w:pPr>
            <w:r>
              <w:rPr>
                <w:sz w:val="20"/>
                <w:szCs w:val="20"/>
              </w:rPr>
              <w:t>Reporting lines</w:t>
            </w:r>
          </w:p>
        </w:tc>
        <w:tc>
          <w:tcPr>
            <w:tcW w:w="708" w:type="dxa"/>
            <w:tcBorders>
              <w:top w:val="single" w:sz="8" w:space="0" w:color="C0504D"/>
              <w:left w:val="single" w:sz="12" w:space="0" w:color="C00000"/>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gridSpan w:val="2"/>
            <w:tcBorders>
              <w:top w:val="single" w:sz="8" w:space="0" w:color="C0504D"/>
              <w:left w:val="single" w:sz="8" w:space="0" w:color="C0504D"/>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gridSpan w:val="2"/>
            <w:tcBorders>
              <w:top w:val="single" w:sz="8" w:space="0" w:color="C0504D"/>
              <w:left w:val="single" w:sz="8" w:space="0" w:color="C0504D"/>
              <w:bottom w:val="single" w:sz="8" w:space="0" w:color="C0504D"/>
              <w:right w:val="single" w:sz="8" w:space="0" w:color="C0504D"/>
            </w:tcBorders>
          </w:tcPr>
          <w:p w:rsidR="00F20CA3" w:rsidRDefault="000509BB">
            <w:pPr>
              <w:ind w:left="34"/>
              <w:rPr>
                <w:rFonts w:ascii="Humnst777 Lt BT" w:hAnsi="Humnst777 Lt BT"/>
                <w:sz w:val="20"/>
                <w:szCs w:val="20"/>
              </w:rPr>
            </w:pPr>
            <w:r>
              <w:rPr>
                <w:rFonts w:ascii="Humnst777 Lt BT" w:hAnsi="Humnst777 Lt BT"/>
                <w:sz w:val="20"/>
                <w:szCs w:val="20"/>
              </w:rPr>
              <w:t>X</w:t>
            </w:r>
          </w:p>
        </w:tc>
        <w:tc>
          <w:tcPr>
            <w:tcW w:w="709" w:type="dxa"/>
            <w:tcBorders>
              <w:top w:val="single" w:sz="8" w:space="0" w:color="C0504D"/>
              <w:left w:val="single" w:sz="8" w:space="0" w:color="C0504D"/>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3685" w:type="dxa"/>
            <w:gridSpan w:val="4"/>
            <w:tcBorders>
              <w:top w:val="single" w:sz="8" w:space="0" w:color="C0504D"/>
              <w:left w:val="single" w:sz="8" w:space="0" w:color="C0504D"/>
              <w:bottom w:val="single" w:sz="8" w:space="0" w:color="C0504D"/>
              <w:right w:val="single" w:sz="8" w:space="0" w:color="C0504D"/>
            </w:tcBorders>
          </w:tcPr>
          <w:p w:rsidR="00F20CA3" w:rsidRPr="00A61CC8" w:rsidRDefault="00A61CC8" w:rsidP="00A61CC8">
            <w:pPr>
              <w:ind w:left="34"/>
              <w:rPr>
                <w:sz w:val="20"/>
                <w:szCs w:val="20"/>
              </w:rPr>
            </w:pPr>
            <w:r w:rsidRPr="00A61CC8">
              <w:rPr>
                <w:sz w:val="20"/>
                <w:szCs w:val="20"/>
              </w:rPr>
              <w:t>Only generally conforms</w:t>
            </w:r>
            <w:r w:rsidR="000509BB" w:rsidRPr="00A61CC8">
              <w:rPr>
                <w:sz w:val="20"/>
                <w:szCs w:val="20"/>
              </w:rPr>
              <w:t xml:space="preserve"> in relation to the recruitment of the HIA </w:t>
            </w:r>
            <w:r w:rsidRPr="00A61CC8">
              <w:rPr>
                <w:sz w:val="20"/>
                <w:szCs w:val="20"/>
              </w:rPr>
              <w:t>as this</w:t>
            </w:r>
            <w:r w:rsidR="000509BB" w:rsidRPr="00A61CC8">
              <w:rPr>
                <w:sz w:val="20"/>
                <w:szCs w:val="20"/>
              </w:rPr>
              <w:t xml:space="preserve"> has not been applied yet</w:t>
            </w:r>
          </w:p>
        </w:tc>
      </w:tr>
      <w:tr w:rsidR="00F20CA3" w:rsidTr="00F20CA3">
        <w:trPr>
          <w:trHeight w:val="229"/>
        </w:trPr>
        <w:tc>
          <w:tcPr>
            <w:tcW w:w="397" w:type="dxa"/>
            <w:tcBorders>
              <w:top w:val="single" w:sz="8" w:space="0" w:color="C0504D"/>
              <w:left w:val="single" w:sz="8" w:space="0" w:color="C0504D"/>
              <w:bottom w:val="single" w:sz="8" w:space="0" w:color="C0504D"/>
              <w:right w:val="single" w:sz="12" w:space="0" w:color="C00000"/>
            </w:tcBorders>
          </w:tcPr>
          <w:p w:rsidR="00F20CA3" w:rsidRDefault="00F20CA3" w:rsidP="00F20CA3">
            <w:pPr>
              <w:numPr>
                <w:ilvl w:val="0"/>
                <w:numId w:val="7"/>
              </w:numPr>
              <w:ind w:left="318" w:hanging="284"/>
              <w:rPr>
                <w:rFonts w:ascii="Humnst777 Lt BT" w:hAnsi="Humnst777 Lt BT"/>
                <w:sz w:val="20"/>
                <w:szCs w:val="20"/>
              </w:rPr>
            </w:pPr>
          </w:p>
        </w:tc>
        <w:tc>
          <w:tcPr>
            <w:tcW w:w="2802" w:type="dxa"/>
            <w:gridSpan w:val="3"/>
            <w:tcBorders>
              <w:top w:val="single" w:sz="8" w:space="0" w:color="C0504D"/>
              <w:left w:val="nil"/>
              <w:bottom w:val="single" w:sz="8" w:space="0" w:color="C0504D"/>
              <w:right w:val="single" w:sz="12" w:space="0" w:color="C00000"/>
            </w:tcBorders>
            <w:hideMark/>
          </w:tcPr>
          <w:p w:rsidR="00F20CA3" w:rsidRDefault="00F20CA3" w:rsidP="00F20CA3">
            <w:pPr>
              <w:numPr>
                <w:ilvl w:val="0"/>
                <w:numId w:val="7"/>
              </w:numPr>
              <w:ind w:left="318" w:hanging="284"/>
              <w:rPr>
                <w:rFonts w:ascii="Humnst777 Lt BT" w:hAnsi="Humnst777 Lt BT"/>
                <w:sz w:val="20"/>
                <w:szCs w:val="20"/>
              </w:rPr>
            </w:pPr>
            <w:r>
              <w:rPr>
                <w:sz w:val="20"/>
                <w:szCs w:val="20"/>
              </w:rPr>
              <w:t>Independence</w:t>
            </w:r>
          </w:p>
        </w:tc>
        <w:tc>
          <w:tcPr>
            <w:tcW w:w="708" w:type="dxa"/>
            <w:tcBorders>
              <w:top w:val="single" w:sz="8" w:space="0" w:color="C0504D"/>
              <w:left w:val="single" w:sz="12" w:space="0" w:color="C00000"/>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gridSpan w:val="2"/>
            <w:tcBorders>
              <w:top w:val="single" w:sz="8" w:space="0" w:color="C0504D"/>
              <w:left w:val="single" w:sz="8" w:space="0" w:color="C0504D"/>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gridSpan w:val="2"/>
            <w:tcBorders>
              <w:top w:val="single" w:sz="8" w:space="0" w:color="C0504D"/>
              <w:left w:val="single" w:sz="8" w:space="0" w:color="C0504D"/>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tcBorders>
              <w:top w:val="single" w:sz="8" w:space="0" w:color="C0504D"/>
              <w:left w:val="single" w:sz="8" w:space="0" w:color="C0504D"/>
              <w:bottom w:val="single" w:sz="8" w:space="0" w:color="C0504D"/>
              <w:right w:val="single" w:sz="8" w:space="0" w:color="C0504D"/>
            </w:tcBorders>
          </w:tcPr>
          <w:p w:rsidR="00F20CA3" w:rsidRDefault="00E66188">
            <w:pPr>
              <w:ind w:left="34"/>
              <w:rPr>
                <w:rFonts w:ascii="Humnst777 Lt BT" w:hAnsi="Humnst777 Lt BT"/>
                <w:sz w:val="20"/>
                <w:szCs w:val="20"/>
              </w:rPr>
            </w:pPr>
            <w:r>
              <w:rPr>
                <w:rFonts w:ascii="Humnst777 Lt BT" w:hAnsi="Humnst777 Lt BT"/>
                <w:sz w:val="20"/>
                <w:szCs w:val="20"/>
              </w:rPr>
              <w:t>X</w:t>
            </w:r>
          </w:p>
        </w:tc>
        <w:tc>
          <w:tcPr>
            <w:tcW w:w="3685" w:type="dxa"/>
            <w:gridSpan w:val="4"/>
            <w:tcBorders>
              <w:top w:val="single" w:sz="8" w:space="0" w:color="C0504D"/>
              <w:left w:val="single" w:sz="8" w:space="0" w:color="C0504D"/>
              <w:bottom w:val="single" w:sz="8" w:space="0" w:color="C0504D"/>
              <w:right w:val="single" w:sz="8" w:space="0" w:color="C0504D"/>
            </w:tcBorders>
          </w:tcPr>
          <w:p w:rsidR="00F20CA3" w:rsidRPr="00A61CC8" w:rsidRDefault="00F20CA3">
            <w:pPr>
              <w:ind w:left="34"/>
              <w:rPr>
                <w:sz w:val="20"/>
                <w:szCs w:val="20"/>
              </w:rPr>
            </w:pPr>
          </w:p>
        </w:tc>
      </w:tr>
      <w:tr w:rsidR="00F20CA3" w:rsidTr="00F20CA3">
        <w:trPr>
          <w:trHeight w:val="106"/>
        </w:trPr>
        <w:tc>
          <w:tcPr>
            <w:tcW w:w="397" w:type="dxa"/>
            <w:tcBorders>
              <w:top w:val="single" w:sz="8" w:space="0" w:color="C0504D"/>
              <w:left w:val="single" w:sz="8" w:space="0" w:color="C0504D"/>
              <w:bottom w:val="single" w:sz="8" w:space="0" w:color="C0504D"/>
              <w:right w:val="single" w:sz="12" w:space="0" w:color="C00000"/>
            </w:tcBorders>
          </w:tcPr>
          <w:p w:rsidR="00F20CA3" w:rsidRDefault="00F20CA3" w:rsidP="00F20CA3">
            <w:pPr>
              <w:numPr>
                <w:ilvl w:val="0"/>
                <w:numId w:val="7"/>
              </w:numPr>
              <w:ind w:left="318" w:hanging="284"/>
              <w:rPr>
                <w:rFonts w:ascii="Humnst777 Lt BT" w:hAnsi="Humnst777 Lt BT"/>
                <w:sz w:val="20"/>
                <w:szCs w:val="20"/>
              </w:rPr>
            </w:pPr>
          </w:p>
        </w:tc>
        <w:tc>
          <w:tcPr>
            <w:tcW w:w="2802" w:type="dxa"/>
            <w:gridSpan w:val="3"/>
            <w:tcBorders>
              <w:top w:val="single" w:sz="8" w:space="0" w:color="C0504D"/>
              <w:left w:val="nil"/>
              <w:bottom w:val="single" w:sz="8" w:space="0" w:color="C0504D"/>
              <w:right w:val="single" w:sz="12" w:space="0" w:color="C00000"/>
            </w:tcBorders>
            <w:hideMark/>
          </w:tcPr>
          <w:p w:rsidR="00F20CA3" w:rsidRDefault="00F20CA3" w:rsidP="00F20CA3">
            <w:pPr>
              <w:numPr>
                <w:ilvl w:val="0"/>
                <w:numId w:val="7"/>
              </w:numPr>
              <w:ind w:left="318" w:hanging="284"/>
              <w:rPr>
                <w:rFonts w:ascii="Humnst777 Lt BT" w:hAnsi="Humnst777 Lt BT"/>
                <w:sz w:val="20"/>
                <w:szCs w:val="20"/>
              </w:rPr>
            </w:pPr>
            <w:r>
              <w:rPr>
                <w:sz w:val="20"/>
                <w:szCs w:val="20"/>
              </w:rPr>
              <w:t>Other assurance providers</w:t>
            </w:r>
          </w:p>
        </w:tc>
        <w:tc>
          <w:tcPr>
            <w:tcW w:w="708" w:type="dxa"/>
            <w:tcBorders>
              <w:top w:val="single" w:sz="8" w:space="0" w:color="C0504D"/>
              <w:left w:val="single" w:sz="12" w:space="0" w:color="C00000"/>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gridSpan w:val="2"/>
            <w:tcBorders>
              <w:top w:val="single" w:sz="8" w:space="0" w:color="C0504D"/>
              <w:left w:val="single" w:sz="8" w:space="0" w:color="C0504D"/>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gridSpan w:val="2"/>
            <w:tcBorders>
              <w:top w:val="single" w:sz="8" w:space="0" w:color="C0504D"/>
              <w:left w:val="single" w:sz="8" w:space="0" w:color="C0504D"/>
              <w:bottom w:val="single" w:sz="8" w:space="0" w:color="C0504D"/>
              <w:right w:val="single" w:sz="8" w:space="0" w:color="C0504D"/>
            </w:tcBorders>
          </w:tcPr>
          <w:p w:rsidR="00F20CA3" w:rsidRDefault="00E66188">
            <w:pPr>
              <w:ind w:left="34"/>
              <w:rPr>
                <w:rFonts w:ascii="Humnst777 Lt BT" w:hAnsi="Humnst777 Lt BT"/>
                <w:sz w:val="20"/>
                <w:szCs w:val="20"/>
              </w:rPr>
            </w:pPr>
            <w:r>
              <w:rPr>
                <w:rFonts w:ascii="Humnst777 Lt BT" w:hAnsi="Humnst777 Lt BT"/>
                <w:sz w:val="20"/>
                <w:szCs w:val="20"/>
              </w:rPr>
              <w:t>X</w:t>
            </w:r>
          </w:p>
        </w:tc>
        <w:tc>
          <w:tcPr>
            <w:tcW w:w="709" w:type="dxa"/>
            <w:tcBorders>
              <w:top w:val="single" w:sz="8" w:space="0" w:color="C0504D"/>
              <w:left w:val="single" w:sz="8" w:space="0" w:color="C0504D"/>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3685" w:type="dxa"/>
            <w:gridSpan w:val="4"/>
            <w:tcBorders>
              <w:top w:val="single" w:sz="8" w:space="0" w:color="C0504D"/>
              <w:left w:val="single" w:sz="8" w:space="0" w:color="C0504D"/>
              <w:bottom w:val="single" w:sz="8" w:space="0" w:color="C0504D"/>
              <w:right w:val="single" w:sz="8" w:space="0" w:color="C0504D"/>
            </w:tcBorders>
          </w:tcPr>
          <w:p w:rsidR="00F20CA3" w:rsidRPr="00A61CC8" w:rsidRDefault="00EC4B4D">
            <w:pPr>
              <w:ind w:left="34"/>
              <w:rPr>
                <w:sz w:val="20"/>
                <w:szCs w:val="20"/>
              </w:rPr>
            </w:pPr>
            <w:r w:rsidRPr="00A61CC8">
              <w:rPr>
                <w:sz w:val="20"/>
                <w:szCs w:val="20"/>
              </w:rPr>
              <w:t>Only generally conforms as no recent examples of working with other internal audit providers</w:t>
            </w:r>
          </w:p>
        </w:tc>
      </w:tr>
      <w:tr w:rsidR="00F20CA3" w:rsidTr="00F20CA3">
        <w:trPr>
          <w:trHeight w:val="265"/>
        </w:trPr>
        <w:tc>
          <w:tcPr>
            <w:tcW w:w="397" w:type="dxa"/>
            <w:tcBorders>
              <w:top w:val="single" w:sz="8" w:space="0" w:color="C0504D"/>
              <w:left w:val="single" w:sz="8" w:space="0" w:color="C0504D"/>
              <w:bottom w:val="single" w:sz="8" w:space="0" w:color="C0504D"/>
              <w:right w:val="single" w:sz="12" w:space="0" w:color="C00000"/>
            </w:tcBorders>
          </w:tcPr>
          <w:p w:rsidR="00F20CA3" w:rsidRDefault="00F20CA3" w:rsidP="00F20CA3">
            <w:pPr>
              <w:numPr>
                <w:ilvl w:val="0"/>
                <w:numId w:val="7"/>
              </w:numPr>
              <w:ind w:left="318" w:hanging="284"/>
              <w:rPr>
                <w:rFonts w:ascii="Humnst777 Lt BT" w:hAnsi="Humnst777 Lt BT"/>
                <w:sz w:val="20"/>
                <w:szCs w:val="20"/>
              </w:rPr>
            </w:pPr>
          </w:p>
        </w:tc>
        <w:tc>
          <w:tcPr>
            <w:tcW w:w="2802" w:type="dxa"/>
            <w:gridSpan w:val="3"/>
            <w:tcBorders>
              <w:top w:val="single" w:sz="8" w:space="0" w:color="C0504D"/>
              <w:left w:val="nil"/>
              <w:bottom w:val="single" w:sz="8" w:space="0" w:color="C0504D"/>
              <w:right w:val="single" w:sz="12" w:space="0" w:color="C00000"/>
            </w:tcBorders>
            <w:hideMark/>
          </w:tcPr>
          <w:p w:rsidR="00F20CA3" w:rsidRDefault="00F20CA3" w:rsidP="00F20CA3">
            <w:pPr>
              <w:numPr>
                <w:ilvl w:val="0"/>
                <w:numId w:val="7"/>
              </w:numPr>
              <w:ind w:left="318" w:hanging="284"/>
              <w:rPr>
                <w:rFonts w:ascii="Humnst777 Lt BT" w:hAnsi="Humnst777 Lt BT"/>
                <w:sz w:val="20"/>
                <w:szCs w:val="20"/>
              </w:rPr>
            </w:pPr>
            <w:r>
              <w:rPr>
                <w:sz w:val="20"/>
                <w:szCs w:val="20"/>
              </w:rPr>
              <w:t>Risk based plan</w:t>
            </w:r>
          </w:p>
        </w:tc>
        <w:tc>
          <w:tcPr>
            <w:tcW w:w="708" w:type="dxa"/>
            <w:tcBorders>
              <w:top w:val="single" w:sz="8" w:space="0" w:color="C0504D"/>
              <w:left w:val="single" w:sz="12" w:space="0" w:color="C00000"/>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gridSpan w:val="2"/>
            <w:tcBorders>
              <w:top w:val="single" w:sz="8" w:space="0" w:color="C0504D"/>
              <w:left w:val="single" w:sz="8" w:space="0" w:color="C0504D"/>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gridSpan w:val="2"/>
            <w:tcBorders>
              <w:top w:val="single" w:sz="8" w:space="0" w:color="C0504D"/>
              <w:left w:val="single" w:sz="8" w:space="0" w:color="C0504D"/>
              <w:bottom w:val="single" w:sz="8" w:space="0" w:color="C0504D"/>
              <w:right w:val="single" w:sz="8" w:space="0" w:color="C0504D"/>
            </w:tcBorders>
          </w:tcPr>
          <w:p w:rsidR="00F20CA3" w:rsidRDefault="00EC4B4D">
            <w:pPr>
              <w:ind w:left="34"/>
              <w:rPr>
                <w:rFonts w:ascii="Humnst777 Lt BT" w:hAnsi="Humnst777 Lt BT"/>
                <w:sz w:val="20"/>
                <w:szCs w:val="20"/>
              </w:rPr>
            </w:pPr>
            <w:r>
              <w:rPr>
                <w:rFonts w:ascii="Humnst777 Lt BT" w:hAnsi="Humnst777 Lt BT"/>
                <w:sz w:val="20"/>
                <w:szCs w:val="20"/>
              </w:rPr>
              <w:t>X</w:t>
            </w:r>
          </w:p>
        </w:tc>
        <w:tc>
          <w:tcPr>
            <w:tcW w:w="709" w:type="dxa"/>
            <w:tcBorders>
              <w:top w:val="single" w:sz="8" w:space="0" w:color="C0504D"/>
              <w:left w:val="single" w:sz="8" w:space="0" w:color="C0504D"/>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3685" w:type="dxa"/>
            <w:gridSpan w:val="4"/>
            <w:tcBorders>
              <w:top w:val="single" w:sz="8" w:space="0" w:color="C0504D"/>
              <w:left w:val="single" w:sz="8" w:space="0" w:color="C0504D"/>
              <w:bottom w:val="single" w:sz="8" w:space="0" w:color="C0504D"/>
              <w:right w:val="single" w:sz="8" w:space="0" w:color="C0504D"/>
            </w:tcBorders>
          </w:tcPr>
          <w:p w:rsidR="00F20CA3" w:rsidRPr="00A61CC8" w:rsidRDefault="00EC4B4D">
            <w:pPr>
              <w:ind w:left="34"/>
              <w:rPr>
                <w:sz w:val="20"/>
                <w:szCs w:val="20"/>
              </w:rPr>
            </w:pPr>
            <w:r w:rsidRPr="00A61CC8">
              <w:rPr>
                <w:sz w:val="20"/>
                <w:szCs w:val="20"/>
              </w:rPr>
              <w:t>See 3.</w:t>
            </w:r>
            <w:r w:rsidR="007A41E2">
              <w:rPr>
                <w:sz w:val="20"/>
                <w:szCs w:val="20"/>
              </w:rPr>
              <w:t>2</w:t>
            </w:r>
            <w:r w:rsidRPr="00A61CC8">
              <w:rPr>
                <w:sz w:val="20"/>
                <w:szCs w:val="20"/>
              </w:rPr>
              <w:t xml:space="preserve"> above</w:t>
            </w:r>
          </w:p>
        </w:tc>
      </w:tr>
      <w:tr w:rsidR="00F20CA3" w:rsidTr="00F20CA3">
        <w:trPr>
          <w:trHeight w:val="393"/>
        </w:trPr>
        <w:tc>
          <w:tcPr>
            <w:tcW w:w="397" w:type="dxa"/>
            <w:tcBorders>
              <w:top w:val="single" w:sz="8" w:space="0" w:color="C0504D"/>
              <w:left w:val="single" w:sz="8" w:space="0" w:color="C0504D"/>
              <w:bottom w:val="single" w:sz="8" w:space="0" w:color="C0504D"/>
              <w:right w:val="single" w:sz="12" w:space="0" w:color="C00000"/>
            </w:tcBorders>
            <w:shd w:val="clear" w:color="auto" w:fill="C40012"/>
          </w:tcPr>
          <w:p w:rsidR="00F20CA3" w:rsidRDefault="00F20CA3">
            <w:pPr>
              <w:pStyle w:val="BodyText3"/>
              <w:spacing w:before="60" w:after="60"/>
              <w:rPr>
                <w:color w:val="FFFFFF"/>
              </w:rPr>
            </w:pPr>
          </w:p>
        </w:tc>
        <w:tc>
          <w:tcPr>
            <w:tcW w:w="2802" w:type="dxa"/>
            <w:gridSpan w:val="3"/>
            <w:tcBorders>
              <w:top w:val="single" w:sz="8" w:space="0" w:color="C0504D"/>
              <w:left w:val="nil"/>
              <w:bottom w:val="single" w:sz="8" w:space="0" w:color="C0504D"/>
              <w:right w:val="single" w:sz="12" w:space="0" w:color="C00000"/>
            </w:tcBorders>
            <w:shd w:val="clear" w:color="auto" w:fill="C40012"/>
            <w:hideMark/>
          </w:tcPr>
          <w:p w:rsidR="00F20CA3" w:rsidRDefault="00F20CA3">
            <w:pPr>
              <w:pStyle w:val="BodyText3"/>
              <w:spacing w:before="60" w:after="60"/>
              <w:rPr>
                <w:sz w:val="20"/>
                <w:szCs w:val="20"/>
              </w:rPr>
            </w:pPr>
            <w:r>
              <w:rPr>
                <w:color w:val="FFFFFF"/>
              </w:rPr>
              <w:t>Structure &amp; resources</w:t>
            </w:r>
          </w:p>
        </w:tc>
        <w:tc>
          <w:tcPr>
            <w:tcW w:w="708" w:type="dxa"/>
            <w:tcBorders>
              <w:top w:val="single" w:sz="8" w:space="0" w:color="C0504D"/>
              <w:left w:val="single" w:sz="12" w:space="0" w:color="C00000"/>
              <w:bottom w:val="single" w:sz="8" w:space="0" w:color="C0504D"/>
              <w:right w:val="nil"/>
            </w:tcBorders>
            <w:shd w:val="clear" w:color="auto" w:fill="C40012"/>
          </w:tcPr>
          <w:p w:rsidR="00F20CA3" w:rsidRDefault="00F20CA3">
            <w:pPr>
              <w:ind w:left="34"/>
              <w:rPr>
                <w:rFonts w:ascii="Humnst777 Lt BT" w:hAnsi="Humnst777 Lt BT"/>
                <w:sz w:val="20"/>
                <w:szCs w:val="20"/>
              </w:rPr>
            </w:pPr>
          </w:p>
        </w:tc>
        <w:tc>
          <w:tcPr>
            <w:tcW w:w="709" w:type="dxa"/>
            <w:gridSpan w:val="2"/>
            <w:tcBorders>
              <w:top w:val="single" w:sz="8" w:space="0" w:color="C0504D"/>
              <w:left w:val="nil"/>
              <w:bottom w:val="single" w:sz="8" w:space="0" w:color="C0504D"/>
              <w:right w:val="nil"/>
            </w:tcBorders>
            <w:shd w:val="clear" w:color="auto" w:fill="C40012"/>
          </w:tcPr>
          <w:p w:rsidR="00F20CA3" w:rsidRDefault="00F20CA3">
            <w:pPr>
              <w:ind w:left="34"/>
              <w:rPr>
                <w:rFonts w:ascii="Humnst777 Lt BT" w:hAnsi="Humnst777 Lt BT"/>
                <w:sz w:val="20"/>
                <w:szCs w:val="20"/>
              </w:rPr>
            </w:pPr>
          </w:p>
        </w:tc>
        <w:tc>
          <w:tcPr>
            <w:tcW w:w="709" w:type="dxa"/>
            <w:gridSpan w:val="2"/>
            <w:tcBorders>
              <w:top w:val="single" w:sz="8" w:space="0" w:color="C0504D"/>
              <w:left w:val="nil"/>
              <w:bottom w:val="single" w:sz="8" w:space="0" w:color="C0504D"/>
              <w:right w:val="nil"/>
            </w:tcBorders>
            <w:shd w:val="clear" w:color="auto" w:fill="C40012"/>
          </w:tcPr>
          <w:p w:rsidR="00F20CA3" w:rsidRDefault="00F20CA3">
            <w:pPr>
              <w:ind w:left="34"/>
              <w:rPr>
                <w:rFonts w:ascii="Humnst777 Lt BT" w:hAnsi="Humnst777 Lt BT"/>
                <w:sz w:val="20"/>
                <w:szCs w:val="20"/>
              </w:rPr>
            </w:pPr>
          </w:p>
        </w:tc>
        <w:tc>
          <w:tcPr>
            <w:tcW w:w="709" w:type="dxa"/>
            <w:tcBorders>
              <w:top w:val="single" w:sz="8" w:space="0" w:color="C0504D"/>
              <w:left w:val="nil"/>
              <w:bottom w:val="single" w:sz="8" w:space="0" w:color="C0504D"/>
              <w:right w:val="nil"/>
            </w:tcBorders>
            <w:shd w:val="clear" w:color="auto" w:fill="C40012"/>
          </w:tcPr>
          <w:p w:rsidR="00F20CA3" w:rsidRDefault="00F20CA3">
            <w:pPr>
              <w:ind w:left="34"/>
              <w:rPr>
                <w:rFonts w:ascii="Humnst777 Lt BT" w:hAnsi="Humnst777 Lt BT"/>
                <w:sz w:val="20"/>
                <w:szCs w:val="20"/>
              </w:rPr>
            </w:pPr>
          </w:p>
        </w:tc>
        <w:tc>
          <w:tcPr>
            <w:tcW w:w="3685" w:type="dxa"/>
            <w:gridSpan w:val="4"/>
            <w:tcBorders>
              <w:top w:val="single" w:sz="8" w:space="0" w:color="C0504D"/>
              <w:left w:val="nil"/>
              <w:bottom w:val="single" w:sz="8" w:space="0" w:color="C0504D"/>
              <w:right w:val="single" w:sz="8" w:space="0" w:color="C0504D"/>
            </w:tcBorders>
            <w:shd w:val="clear" w:color="auto" w:fill="C40012"/>
          </w:tcPr>
          <w:p w:rsidR="00F20CA3" w:rsidRPr="00A61CC8" w:rsidRDefault="00F20CA3">
            <w:pPr>
              <w:ind w:left="34"/>
              <w:rPr>
                <w:sz w:val="20"/>
                <w:szCs w:val="20"/>
              </w:rPr>
            </w:pPr>
          </w:p>
        </w:tc>
      </w:tr>
      <w:tr w:rsidR="00F20CA3" w:rsidTr="00F20CA3">
        <w:trPr>
          <w:trHeight w:val="237"/>
        </w:trPr>
        <w:tc>
          <w:tcPr>
            <w:tcW w:w="397" w:type="dxa"/>
            <w:tcBorders>
              <w:top w:val="single" w:sz="8" w:space="0" w:color="C0504D"/>
              <w:left w:val="single" w:sz="8" w:space="0" w:color="C0504D"/>
              <w:bottom w:val="single" w:sz="8" w:space="0" w:color="C0504D"/>
              <w:right w:val="single" w:sz="12" w:space="0" w:color="C00000"/>
            </w:tcBorders>
          </w:tcPr>
          <w:p w:rsidR="00F20CA3" w:rsidRDefault="00F20CA3" w:rsidP="00F20CA3">
            <w:pPr>
              <w:numPr>
                <w:ilvl w:val="0"/>
                <w:numId w:val="7"/>
              </w:numPr>
              <w:ind w:left="318" w:hanging="284"/>
              <w:rPr>
                <w:rFonts w:ascii="Humnst777 Lt BT" w:hAnsi="Humnst777 Lt BT"/>
                <w:sz w:val="20"/>
                <w:szCs w:val="20"/>
              </w:rPr>
            </w:pPr>
          </w:p>
        </w:tc>
        <w:tc>
          <w:tcPr>
            <w:tcW w:w="2802" w:type="dxa"/>
            <w:gridSpan w:val="3"/>
            <w:tcBorders>
              <w:top w:val="single" w:sz="8" w:space="0" w:color="C0504D"/>
              <w:left w:val="nil"/>
              <w:bottom w:val="single" w:sz="8" w:space="0" w:color="C0504D"/>
              <w:right w:val="single" w:sz="12" w:space="0" w:color="C00000"/>
            </w:tcBorders>
            <w:hideMark/>
          </w:tcPr>
          <w:p w:rsidR="00F20CA3" w:rsidRDefault="00F20CA3" w:rsidP="00F20CA3">
            <w:pPr>
              <w:numPr>
                <w:ilvl w:val="0"/>
                <w:numId w:val="7"/>
              </w:numPr>
              <w:ind w:left="318" w:hanging="284"/>
              <w:rPr>
                <w:rFonts w:ascii="Humnst777 Lt BT" w:hAnsi="Humnst777 Lt BT"/>
                <w:sz w:val="20"/>
                <w:szCs w:val="20"/>
              </w:rPr>
            </w:pPr>
            <w:r>
              <w:rPr>
                <w:sz w:val="20"/>
                <w:szCs w:val="20"/>
              </w:rPr>
              <w:t xml:space="preserve">Competencies </w:t>
            </w:r>
          </w:p>
        </w:tc>
        <w:tc>
          <w:tcPr>
            <w:tcW w:w="708" w:type="dxa"/>
            <w:tcBorders>
              <w:top w:val="single" w:sz="8" w:space="0" w:color="C0504D"/>
              <w:left w:val="single" w:sz="12" w:space="0" w:color="C00000"/>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gridSpan w:val="2"/>
            <w:tcBorders>
              <w:top w:val="single" w:sz="8" w:space="0" w:color="C0504D"/>
              <w:left w:val="single" w:sz="8" w:space="0" w:color="C0504D"/>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gridSpan w:val="2"/>
            <w:tcBorders>
              <w:top w:val="single" w:sz="8" w:space="0" w:color="C0504D"/>
              <w:left w:val="single" w:sz="8" w:space="0" w:color="C0504D"/>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tcBorders>
              <w:top w:val="single" w:sz="8" w:space="0" w:color="C0504D"/>
              <w:left w:val="single" w:sz="8" w:space="0" w:color="C0504D"/>
              <w:bottom w:val="single" w:sz="8" w:space="0" w:color="C0504D"/>
              <w:right w:val="single" w:sz="8" w:space="0" w:color="C0504D"/>
            </w:tcBorders>
          </w:tcPr>
          <w:p w:rsidR="00F20CA3" w:rsidRDefault="00E66188">
            <w:pPr>
              <w:ind w:left="34"/>
              <w:rPr>
                <w:rFonts w:ascii="Humnst777 Lt BT" w:hAnsi="Humnst777 Lt BT"/>
                <w:sz w:val="20"/>
                <w:szCs w:val="20"/>
              </w:rPr>
            </w:pPr>
            <w:r>
              <w:rPr>
                <w:rFonts w:ascii="Humnst777 Lt BT" w:hAnsi="Humnst777 Lt BT"/>
                <w:sz w:val="20"/>
                <w:szCs w:val="20"/>
              </w:rPr>
              <w:t>X</w:t>
            </w:r>
          </w:p>
        </w:tc>
        <w:tc>
          <w:tcPr>
            <w:tcW w:w="3685" w:type="dxa"/>
            <w:gridSpan w:val="4"/>
            <w:tcBorders>
              <w:top w:val="single" w:sz="8" w:space="0" w:color="C0504D"/>
              <w:left w:val="single" w:sz="8" w:space="0" w:color="C0504D"/>
              <w:bottom w:val="single" w:sz="8" w:space="0" w:color="C0504D"/>
              <w:right w:val="single" w:sz="8" w:space="0" w:color="C0504D"/>
            </w:tcBorders>
          </w:tcPr>
          <w:p w:rsidR="00F20CA3" w:rsidRPr="00A61CC8" w:rsidRDefault="00F20CA3">
            <w:pPr>
              <w:ind w:left="34"/>
              <w:rPr>
                <w:sz w:val="20"/>
                <w:szCs w:val="20"/>
              </w:rPr>
            </w:pPr>
          </w:p>
        </w:tc>
      </w:tr>
      <w:tr w:rsidR="00F20CA3" w:rsidTr="00F20CA3">
        <w:trPr>
          <w:trHeight w:val="539"/>
        </w:trPr>
        <w:tc>
          <w:tcPr>
            <w:tcW w:w="397" w:type="dxa"/>
            <w:tcBorders>
              <w:top w:val="single" w:sz="8" w:space="0" w:color="C0504D"/>
              <w:left w:val="single" w:sz="8" w:space="0" w:color="C0504D"/>
              <w:bottom w:val="single" w:sz="8" w:space="0" w:color="C0504D"/>
              <w:right w:val="single" w:sz="12" w:space="0" w:color="C00000"/>
            </w:tcBorders>
          </w:tcPr>
          <w:p w:rsidR="00F20CA3" w:rsidRDefault="00F20CA3" w:rsidP="00F20CA3">
            <w:pPr>
              <w:numPr>
                <w:ilvl w:val="0"/>
                <w:numId w:val="7"/>
              </w:numPr>
              <w:ind w:left="318" w:hanging="284"/>
              <w:rPr>
                <w:rFonts w:ascii="Humnst777 Lt BT" w:hAnsi="Humnst777 Lt BT"/>
                <w:sz w:val="20"/>
                <w:szCs w:val="20"/>
              </w:rPr>
            </w:pPr>
          </w:p>
        </w:tc>
        <w:tc>
          <w:tcPr>
            <w:tcW w:w="2802" w:type="dxa"/>
            <w:gridSpan w:val="3"/>
            <w:tcBorders>
              <w:top w:val="single" w:sz="8" w:space="0" w:color="C0504D"/>
              <w:left w:val="nil"/>
              <w:bottom w:val="single" w:sz="8" w:space="0" w:color="C0504D"/>
              <w:right w:val="single" w:sz="12" w:space="0" w:color="C00000"/>
            </w:tcBorders>
            <w:hideMark/>
          </w:tcPr>
          <w:p w:rsidR="00F20CA3" w:rsidRDefault="00F20CA3" w:rsidP="00F20CA3">
            <w:pPr>
              <w:numPr>
                <w:ilvl w:val="0"/>
                <w:numId w:val="7"/>
              </w:numPr>
              <w:ind w:left="318" w:hanging="284"/>
              <w:rPr>
                <w:rFonts w:ascii="Humnst777 Lt BT" w:hAnsi="Humnst777 Lt BT"/>
                <w:sz w:val="20"/>
                <w:szCs w:val="20"/>
              </w:rPr>
            </w:pPr>
            <w:r>
              <w:rPr>
                <w:sz w:val="20"/>
                <w:szCs w:val="20"/>
              </w:rPr>
              <w:t>Technical training &amp; development</w:t>
            </w:r>
          </w:p>
        </w:tc>
        <w:tc>
          <w:tcPr>
            <w:tcW w:w="708" w:type="dxa"/>
            <w:tcBorders>
              <w:top w:val="single" w:sz="8" w:space="0" w:color="C0504D"/>
              <w:left w:val="single" w:sz="12" w:space="0" w:color="C00000"/>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gridSpan w:val="2"/>
            <w:tcBorders>
              <w:top w:val="single" w:sz="8" w:space="0" w:color="C0504D"/>
              <w:left w:val="single" w:sz="8" w:space="0" w:color="C0504D"/>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gridSpan w:val="2"/>
            <w:tcBorders>
              <w:top w:val="single" w:sz="8" w:space="0" w:color="C0504D"/>
              <w:left w:val="single" w:sz="8" w:space="0" w:color="C0504D"/>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tcBorders>
              <w:top w:val="single" w:sz="8" w:space="0" w:color="C0504D"/>
              <w:left w:val="single" w:sz="8" w:space="0" w:color="C0504D"/>
              <w:bottom w:val="single" w:sz="8" w:space="0" w:color="C0504D"/>
              <w:right w:val="single" w:sz="8" w:space="0" w:color="C0504D"/>
            </w:tcBorders>
          </w:tcPr>
          <w:p w:rsidR="00F20CA3" w:rsidRDefault="00E66188">
            <w:pPr>
              <w:ind w:left="34"/>
              <w:rPr>
                <w:rFonts w:ascii="Humnst777 Lt BT" w:hAnsi="Humnst777 Lt BT"/>
                <w:sz w:val="20"/>
                <w:szCs w:val="20"/>
              </w:rPr>
            </w:pPr>
            <w:r>
              <w:rPr>
                <w:rFonts w:ascii="Humnst777 Lt BT" w:hAnsi="Humnst777 Lt BT"/>
                <w:sz w:val="20"/>
                <w:szCs w:val="20"/>
              </w:rPr>
              <w:t>X</w:t>
            </w:r>
          </w:p>
        </w:tc>
        <w:tc>
          <w:tcPr>
            <w:tcW w:w="3685" w:type="dxa"/>
            <w:gridSpan w:val="4"/>
            <w:tcBorders>
              <w:top w:val="single" w:sz="8" w:space="0" w:color="C0504D"/>
              <w:left w:val="single" w:sz="8" w:space="0" w:color="C0504D"/>
              <w:bottom w:val="single" w:sz="8" w:space="0" w:color="C0504D"/>
              <w:right w:val="single" w:sz="8" w:space="0" w:color="C0504D"/>
            </w:tcBorders>
          </w:tcPr>
          <w:p w:rsidR="00F20CA3" w:rsidRPr="00A61CC8" w:rsidRDefault="00F20CA3">
            <w:pPr>
              <w:ind w:left="34"/>
              <w:rPr>
                <w:sz w:val="20"/>
                <w:szCs w:val="20"/>
              </w:rPr>
            </w:pPr>
          </w:p>
        </w:tc>
      </w:tr>
      <w:tr w:rsidR="00F20CA3" w:rsidTr="00F20CA3">
        <w:trPr>
          <w:trHeight w:val="263"/>
        </w:trPr>
        <w:tc>
          <w:tcPr>
            <w:tcW w:w="397" w:type="dxa"/>
            <w:tcBorders>
              <w:top w:val="single" w:sz="8" w:space="0" w:color="C0504D"/>
              <w:left w:val="single" w:sz="8" w:space="0" w:color="C0504D"/>
              <w:bottom w:val="single" w:sz="8" w:space="0" w:color="C0504D"/>
              <w:right w:val="single" w:sz="12" w:space="0" w:color="C00000"/>
            </w:tcBorders>
          </w:tcPr>
          <w:p w:rsidR="00F20CA3" w:rsidRDefault="00F20CA3" w:rsidP="00F20CA3">
            <w:pPr>
              <w:numPr>
                <w:ilvl w:val="0"/>
                <w:numId w:val="7"/>
              </w:numPr>
              <w:ind w:left="318" w:hanging="284"/>
              <w:rPr>
                <w:rFonts w:ascii="Humnst777 Lt BT" w:hAnsi="Humnst777 Lt BT"/>
                <w:sz w:val="20"/>
                <w:szCs w:val="20"/>
              </w:rPr>
            </w:pPr>
          </w:p>
        </w:tc>
        <w:tc>
          <w:tcPr>
            <w:tcW w:w="2802" w:type="dxa"/>
            <w:gridSpan w:val="3"/>
            <w:tcBorders>
              <w:top w:val="single" w:sz="8" w:space="0" w:color="C0504D"/>
              <w:left w:val="nil"/>
              <w:bottom w:val="single" w:sz="8" w:space="0" w:color="C0504D"/>
              <w:right w:val="single" w:sz="12" w:space="0" w:color="C00000"/>
            </w:tcBorders>
            <w:hideMark/>
          </w:tcPr>
          <w:p w:rsidR="00F20CA3" w:rsidRDefault="00F20CA3" w:rsidP="00F20CA3">
            <w:pPr>
              <w:numPr>
                <w:ilvl w:val="0"/>
                <w:numId w:val="7"/>
              </w:numPr>
              <w:ind w:left="318" w:hanging="284"/>
              <w:rPr>
                <w:rFonts w:ascii="Humnst777 Lt BT" w:hAnsi="Humnst777 Lt BT"/>
                <w:sz w:val="20"/>
                <w:szCs w:val="20"/>
              </w:rPr>
            </w:pPr>
            <w:r>
              <w:rPr>
                <w:sz w:val="20"/>
                <w:szCs w:val="20"/>
              </w:rPr>
              <w:t>Resourcing</w:t>
            </w:r>
          </w:p>
        </w:tc>
        <w:tc>
          <w:tcPr>
            <w:tcW w:w="708" w:type="dxa"/>
            <w:tcBorders>
              <w:top w:val="single" w:sz="8" w:space="0" w:color="C0504D"/>
              <w:left w:val="single" w:sz="12" w:space="0" w:color="C00000"/>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gridSpan w:val="2"/>
            <w:tcBorders>
              <w:top w:val="single" w:sz="8" w:space="0" w:color="C0504D"/>
              <w:left w:val="single" w:sz="8" w:space="0" w:color="C0504D"/>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gridSpan w:val="2"/>
            <w:tcBorders>
              <w:top w:val="single" w:sz="8" w:space="0" w:color="C0504D"/>
              <w:left w:val="single" w:sz="8" w:space="0" w:color="C0504D"/>
              <w:bottom w:val="single" w:sz="8" w:space="0" w:color="C0504D"/>
              <w:right w:val="single" w:sz="8" w:space="0" w:color="C0504D"/>
            </w:tcBorders>
          </w:tcPr>
          <w:p w:rsidR="00F20CA3" w:rsidRDefault="00B178AE">
            <w:pPr>
              <w:ind w:left="34"/>
              <w:rPr>
                <w:rFonts w:ascii="Humnst777 Lt BT" w:hAnsi="Humnst777 Lt BT"/>
                <w:sz w:val="20"/>
                <w:szCs w:val="20"/>
              </w:rPr>
            </w:pPr>
            <w:r>
              <w:rPr>
                <w:rFonts w:ascii="Humnst777 Lt BT" w:hAnsi="Humnst777 Lt BT"/>
                <w:sz w:val="20"/>
                <w:szCs w:val="20"/>
              </w:rPr>
              <w:t>X</w:t>
            </w:r>
          </w:p>
        </w:tc>
        <w:tc>
          <w:tcPr>
            <w:tcW w:w="709" w:type="dxa"/>
            <w:tcBorders>
              <w:top w:val="single" w:sz="8" w:space="0" w:color="C0504D"/>
              <w:left w:val="single" w:sz="8" w:space="0" w:color="C0504D"/>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3685" w:type="dxa"/>
            <w:gridSpan w:val="4"/>
            <w:tcBorders>
              <w:top w:val="single" w:sz="8" w:space="0" w:color="C0504D"/>
              <w:left w:val="single" w:sz="8" w:space="0" w:color="C0504D"/>
              <w:bottom w:val="single" w:sz="8" w:space="0" w:color="C0504D"/>
              <w:right w:val="single" w:sz="8" w:space="0" w:color="C0504D"/>
            </w:tcBorders>
          </w:tcPr>
          <w:p w:rsidR="00F20CA3" w:rsidRPr="00A61CC8" w:rsidRDefault="00EC4B4D">
            <w:pPr>
              <w:ind w:left="34"/>
              <w:rPr>
                <w:sz w:val="20"/>
                <w:szCs w:val="20"/>
              </w:rPr>
            </w:pPr>
            <w:r w:rsidRPr="00A61CC8">
              <w:rPr>
                <w:sz w:val="20"/>
                <w:szCs w:val="20"/>
              </w:rPr>
              <w:t>See 3.</w:t>
            </w:r>
            <w:r w:rsidR="007A41E2">
              <w:rPr>
                <w:sz w:val="20"/>
                <w:szCs w:val="20"/>
              </w:rPr>
              <w:t>3</w:t>
            </w:r>
            <w:r w:rsidR="00E66188" w:rsidRPr="00A61CC8">
              <w:rPr>
                <w:sz w:val="20"/>
                <w:szCs w:val="20"/>
              </w:rPr>
              <w:t xml:space="preserve"> above</w:t>
            </w:r>
          </w:p>
        </w:tc>
      </w:tr>
      <w:tr w:rsidR="00F20CA3" w:rsidTr="00F20CA3">
        <w:trPr>
          <w:trHeight w:val="267"/>
        </w:trPr>
        <w:tc>
          <w:tcPr>
            <w:tcW w:w="397" w:type="dxa"/>
            <w:tcBorders>
              <w:top w:val="single" w:sz="8" w:space="0" w:color="C0504D"/>
              <w:left w:val="single" w:sz="8" w:space="0" w:color="C0504D"/>
              <w:bottom w:val="single" w:sz="8" w:space="0" w:color="C0504D"/>
              <w:right w:val="single" w:sz="12" w:space="0" w:color="C00000"/>
            </w:tcBorders>
          </w:tcPr>
          <w:p w:rsidR="00F20CA3" w:rsidRDefault="00F20CA3" w:rsidP="00F20CA3">
            <w:pPr>
              <w:numPr>
                <w:ilvl w:val="0"/>
                <w:numId w:val="7"/>
              </w:numPr>
              <w:ind w:left="318" w:hanging="284"/>
              <w:rPr>
                <w:rFonts w:ascii="Humnst777 Lt BT" w:hAnsi="Humnst777 Lt BT"/>
                <w:sz w:val="20"/>
                <w:szCs w:val="20"/>
              </w:rPr>
            </w:pPr>
          </w:p>
        </w:tc>
        <w:tc>
          <w:tcPr>
            <w:tcW w:w="2802" w:type="dxa"/>
            <w:gridSpan w:val="3"/>
            <w:tcBorders>
              <w:top w:val="single" w:sz="8" w:space="0" w:color="C0504D"/>
              <w:left w:val="nil"/>
              <w:bottom w:val="single" w:sz="8" w:space="0" w:color="C0504D"/>
              <w:right w:val="single" w:sz="12" w:space="0" w:color="C00000"/>
            </w:tcBorders>
            <w:hideMark/>
          </w:tcPr>
          <w:p w:rsidR="00F20CA3" w:rsidRDefault="00F20CA3" w:rsidP="00F20CA3">
            <w:pPr>
              <w:numPr>
                <w:ilvl w:val="0"/>
                <w:numId w:val="7"/>
              </w:numPr>
              <w:ind w:left="318" w:hanging="284"/>
              <w:rPr>
                <w:rFonts w:ascii="Humnst777 Lt BT" w:hAnsi="Humnst777 Lt BT"/>
                <w:sz w:val="20"/>
                <w:szCs w:val="20"/>
              </w:rPr>
            </w:pPr>
            <w:r>
              <w:rPr>
                <w:sz w:val="20"/>
                <w:szCs w:val="20"/>
              </w:rPr>
              <w:t>Performance management</w:t>
            </w:r>
          </w:p>
        </w:tc>
        <w:tc>
          <w:tcPr>
            <w:tcW w:w="708" w:type="dxa"/>
            <w:tcBorders>
              <w:top w:val="single" w:sz="8" w:space="0" w:color="C0504D"/>
              <w:left w:val="single" w:sz="12" w:space="0" w:color="C00000"/>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gridSpan w:val="2"/>
            <w:tcBorders>
              <w:top w:val="single" w:sz="8" w:space="0" w:color="C0504D"/>
              <w:left w:val="single" w:sz="8" w:space="0" w:color="C0504D"/>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gridSpan w:val="2"/>
            <w:tcBorders>
              <w:top w:val="single" w:sz="8" w:space="0" w:color="C0504D"/>
              <w:left w:val="single" w:sz="8" w:space="0" w:color="C0504D"/>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tcBorders>
              <w:top w:val="single" w:sz="8" w:space="0" w:color="C0504D"/>
              <w:left w:val="single" w:sz="8" w:space="0" w:color="C0504D"/>
              <w:bottom w:val="single" w:sz="8" w:space="0" w:color="C0504D"/>
              <w:right w:val="single" w:sz="8" w:space="0" w:color="C0504D"/>
            </w:tcBorders>
          </w:tcPr>
          <w:p w:rsidR="00F20CA3" w:rsidRDefault="00E66188">
            <w:pPr>
              <w:ind w:left="34"/>
              <w:rPr>
                <w:rFonts w:ascii="Humnst777 Lt BT" w:hAnsi="Humnst777 Lt BT"/>
                <w:sz w:val="20"/>
                <w:szCs w:val="20"/>
              </w:rPr>
            </w:pPr>
            <w:r>
              <w:rPr>
                <w:rFonts w:ascii="Humnst777 Lt BT" w:hAnsi="Humnst777 Lt BT"/>
                <w:sz w:val="20"/>
                <w:szCs w:val="20"/>
              </w:rPr>
              <w:t>X</w:t>
            </w:r>
          </w:p>
        </w:tc>
        <w:tc>
          <w:tcPr>
            <w:tcW w:w="3685" w:type="dxa"/>
            <w:gridSpan w:val="4"/>
            <w:tcBorders>
              <w:top w:val="single" w:sz="8" w:space="0" w:color="C0504D"/>
              <w:left w:val="single" w:sz="8" w:space="0" w:color="C0504D"/>
              <w:bottom w:val="single" w:sz="8" w:space="0" w:color="C0504D"/>
              <w:right w:val="single" w:sz="8" w:space="0" w:color="C0504D"/>
            </w:tcBorders>
          </w:tcPr>
          <w:p w:rsidR="00F20CA3" w:rsidRPr="00A61CC8" w:rsidRDefault="00F20CA3">
            <w:pPr>
              <w:ind w:left="34"/>
              <w:rPr>
                <w:sz w:val="20"/>
                <w:szCs w:val="20"/>
              </w:rPr>
            </w:pPr>
          </w:p>
        </w:tc>
      </w:tr>
      <w:tr w:rsidR="00F20CA3" w:rsidTr="00F20CA3">
        <w:trPr>
          <w:trHeight w:val="271"/>
        </w:trPr>
        <w:tc>
          <w:tcPr>
            <w:tcW w:w="397" w:type="dxa"/>
            <w:tcBorders>
              <w:top w:val="single" w:sz="8" w:space="0" w:color="C0504D"/>
              <w:left w:val="single" w:sz="8" w:space="0" w:color="C0504D"/>
              <w:bottom w:val="single" w:sz="8" w:space="0" w:color="C0504D"/>
              <w:right w:val="single" w:sz="12" w:space="0" w:color="C00000"/>
            </w:tcBorders>
          </w:tcPr>
          <w:p w:rsidR="00F20CA3" w:rsidRDefault="00F20CA3" w:rsidP="00F20CA3">
            <w:pPr>
              <w:numPr>
                <w:ilvl w:val="0"/>
                <w:numId w:val="7"/>
              </w:numPr>
              <w:ind w:left="318" w:hanging="284"/>
              <w:rPr>
                <w:rFonts w:ascii="Humnst777 Lt BT" w:hAnsi="Humnst777 Lt BT"/>
                <w:sz w:val="20"/>
                <w:szCs w:val="20"/>
              </w:rPr>
            </w:pPr>
          </w:p>
        </w:tc>
        <w:tc>
          <w:tcPr>
            <w:tcW w:w="2802" w:type="dxa"/>
            <w:gridSpan w:val="3"/>
            <w:tcBorders>
              <w:top w:val="single" w:sz="8" w:space="0" w:color="C0504D"/>
              <w:left w:val="nil"/>
              <w:bottom w:val="single" w:sz="8" w:space="0" w:color="C0504D"/>
              <w:right w:val="single" w:sz="12" w:space="0" w:color="C00000"/>
            </w:tcBorders>
            <w:hideMark/>
          </w:tcPr>
          <w:p w:rsidR="00F20CA3" w:rsidRDefault="00F20CA3" w:rsidP="00F20CA3">
            <w:pPr>
              <w:numPr>
                <w:ilvl w:val="0"/>
                <w:numId w:val="7"/>
              </w:numPr>
              <w:ind w:left="318" w:hanging="284"/>
              <w:rPr>
                <w:rFonts w:ascii="Humnst777 Lt BT" w:hAnsi="Humnst777 Lt BT"/>
                <w:sz w:val="20"/>
                <w:szCs w:val="20"/>
              </w:rPr>
            </w:pPr>
            <w:r>
              <w:rPr>
                <w:sz w:val="20"/>
                <w:szCs w:val="20"/>
              </w:rPr>
              <w:t>Knowledge management</w:t>
            </w:r>
          </w:p>
        </w:tc>
        <w:tc>
          <w:tcPr>
            <w:tcW w:w="708" w:type="dxa"/>
            <w:tcBorders>
              <w:top w:val="single" w:sz="8" w:space="0" w:color="C0504D"/>
              <w:left w:val="single" w:sz="12" w:space="0" w:color="C00000"/>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gridSpan w:val="2"/>
            <w:tcBorders>
              <w:top w:val="single" w:sz="8" w:space="0" w:color="C0504D"/>
              <w:left w:val="single" w:sz="8" w:space="0" w:color="C0504D"/>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gridSpan w:val="2"/>
            <w:tcBorders>
              <w:top w:val="single" w:sz="8" w:space="0" w:color="C0504D"/>
              <w:left w:val="single" w:sz="8" w:space="0" w:color="C0504D"/>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tcBorders>
              <w:top w:val="single" w:sz="8" w:space="0" w:color="C0504D"/>
              <w:left w:val="single" w:sz="8" w:space="0" w:color="C0504D"/>
              <w:bottom w:val="single" w:sz="8" w:space="0" w:color="C0504D"/>
              <w:right w:val="single" w:sz="8" w:space="0" w:color="C0504D"/>
            </w:tcBorders>
          </w:tcPr>
          <w:p w:rsidR="00F20CA3" w:rsidRDefault="00E66188">
            <w:pPr>
              <w:ind w:left="34"/>
              <w:rPr>
                <w:rFonts w:ascii="Humnst777 Lt BT" w:hAnsi="Humnst777 Lt BT"/>
                <w:sz w:val="20"/>
                <w:szCs w:val="20"/>
              </w:rPr>
            </w:pPr>
            <w:r>
              <w:rPr>
                <w:rFonts w:ascii="Humnst777 Lt BT" w:hAnsi="Humnst777 Lt BT"/>
                <w:sz w:val="20"/>
                <w:szCs w:val="20"/>
              </w:rPr>
              <w:t>X</w:t>
            </w:r>
          </w:p>
        </w:tc>
        <w:tc>
          <w:tcPr>
            <w:tcW w:w="3685" w:type="dxa"/>
            <w:gridSpan w:val="4"/>
            <w:tcBorders>
              <w:top w:val="single" w:sz="8" w:space="0" w:color="C0504D"/>
              <w:left w:val="single" w:sz="8" w:space="0" w:color="C0504D"/>
              <w:bottom w:val="single" w:sz="8" w:space="0" w:color="C0504D"/>
              <w:right w:val="single" w:sz="8" w:space="0" w:color="C0504D"/>
            </w:tcBorders>
          </w:tcPr>
          <w:p w:rsidR="00F20CA3" w:rsidRPr="00A61CC8" w:rsidRDefault="00F20CA3">
            <w:pPr>
              <w:ind w:left="34"/>
              <w:rPr>
                <w:sz w:val="20"/>
                <w:szCs w:val="20"/>
              </w:rPr>
            </w:pPr>
          </w:p>
        </w:tc>
      </w:tr>
      <w:tr w:rsidR="00F20CA3" w:rsidTr="00F20CA3">
        <w:trPr>
          <w:trHeight w:val="423"/>
        </w:trPr>
        <w:tc>
          <w:tcPr>
            <w:tcW w:w="397" w:type="dxa"/>
            <w:tcBorders>
              <w:top w:val="single" w:sz="8" w:space="0" w:color="C0504D"/>
              <w:left w:val="single" w:sz="8" w:space="0" w:color="C0504D"/>
              <w:bottom w:val="single" w:sz="8" w:space="0" w:color="C0504D"/>
              <w:right w:val="single" w:sz="12" w:space="0" w:color="C00000"/>
            </w:tcBorders>
            <w:shd w:val="clear" w:color="auto" w:fill="C40012"/>
          </w:tcPr>
          <w:p w:rsidR="00F20CA3" w:rsidRDefault="00F20CA3">
            <w:pPr>
              <w:pStyle w:val="BodyText3"/>
              <w:spacing w:before="60" w:after="60"/>
              <w:rPr>
                <w:color w:val="FFFFFF"/>
              </w:rPr>
            </w:pPr>
          </w:p>
        </w:tc>
        <w:tc>
          <w:tcPr>
            <w:tcW w:w="2802" w:type="dxa"/>
            <w:gridSpan w:val="3"/>
            <w:tcBorders>
              <w:top w:val="single" w:sz="8" w:space="0" w:color="C0504D"/>
              <w:left w:val="nil"/>
              <w:bottom w:val="single" w:sz="8" w:space="0" w:color="C0504D"/>
              <w:right w:val="single" w:sz="12" w:space="0" w:color="C00000"/>
            </w:tcBorders>
            <w:shd w:val="clear" w:color="auto" w:fill="C40012"/>
            <w:hideMark/>
          </w:tcPr>
          <w:p w:rsidR="00F20CA3" w:rsidRDefault="00F20CA3">
            <w:pPr>
              <w:pStyle w:val="BodyText3"/>
              <w:spacing w:before="60" w:after="60"/>
              <w:rPr>
                <w:color w:val="FFFFFF"/>
              </w:rPr>
            </w:pPr>
            <w:r>
              <w:rPr>
                <w:color w:val="FFFFFF"/>
              </w:rPr>
              <w:t>Audit execution</w:t>
            </w:r>
          </w:p>
        </w:tc>
        <w:tc>
          <w:tcPr>
            <w:tcW w:w="708" w:type="dxa"/>
            <w:tcBorders>
              <w:top w:val="single" w:sz="8" w:space="0" w:color="C0504D"/>
              <w:left w:val="single" w:sz="12" w:space="0" w:color="C00000"/>
              <w:bottom w:val="single" w:sz="8" w:space="0" w:color="C0504D"/>
              <w:right w:val="nil"/>
            </w:tcBorders>
            <w:shd w:val="clear" w:color="auto" w:fill="C40012"/>
          </w:tcPr>
          <w:p w:rsidR="00F20CA3" w:rsidRDefault="00F20CA3">
            <w:pPr>
              <w:ind w:left="34"/>
              <w:rPr>
                <w:rFonts w:ascii="Humnst777 Lt BT" w:hAnsi="Humnst777 Lt BT"/>
                <w:sz w:val="20"/>
                <w:szCs w:val="20"/>
              </w:rPr>
            </w:pPr>
          </w:p>
        </w:tc>
        <w:tc>
          <w:tcPr>
            <w:tcW w:w="709" w:type="dxa"/>
            <w:gridSpan w:val="2"/>
            <w:tcBorders>
              <w:top w:val="single" w:sz="8" w:space="0" w:color="C0504D"/>
              <w:left w:val="nil"/>
              <w:bottom w:val="single" w:sz="8" w:space="0" w:color="C0504D"/>
              <w:right w:val="nil"/>
            </w:tcBorders>
            <w:shd w:val="clear" w:color="auto" w:fill="C40012"/>
          </w:tcPr>
          <w:p w:rsidR="00F20CA3" w:rsidRDefault="00F20CA3">
            <w:pPr>
              <w:ind w:left="34"/>
              <w:rPr>
                <w:rFonts w:ascii="Humnst777 Lt BT" w:hAnsi="Humnst777 Lt BT"/>
                <w:sz w:val="20"/>
                <w:szCs w:val="20"/>
              </w:rPr>
            </w:pPr>
          </w:p>
        </w:tc>
        <w:tc>
          <w:tcPr>
            <w:tcW w:w="709" w:type="dxa"/>
            <w:gridSpan w:val="2"/>
            <w:tcBorders>
              <w:top w:val="single" w:sz="8" w:space="0" w:color="C0504D"/>
              <w:left w:val="nil"/>
              <w:bottom w:val="single" w:sz="8" w:space="0" w:color="C0504D"/>
              <w:right w:val="nil"/>
            </w:tcBorders>
            <w:shd w:val="clear" w:color="auto" w:fill="C40012"/>
          </w:tcPr>
          <w:p w:rsidR="00F20CA3" w:rsidRDefault="00F20CA3">
            <w:pPr>
              <w:ind w:left="34"/>
              <w:rPr>
                <w:rFonts w:ascii="Humnst777 Lt BT" w:hAnsi="Humnst777 Lt BT"/>
                <w:sz w:val="20"/>
                <w:szCs w:val="20"/>
              </w:rPr>
            </w:pPr>
          </w:p>
        </w:tc>
        <w:tc>
          <w:tcPr>
            <w:tcW w:w="709" w:type="dxa"/>
            <w:tcBorders>
              <w:top w:val="single" w:sz="8" w:space="0" w:color="C0504D"/>
              <w:left w:val="nil"/>
              <w:bottom w:val="single" w:sz="8" w:space="0" w:color="C0504D"/>
              <w:right w:val="nil"/>
            </w:tcBorders>
            <w:shd w:val="clear" w:color="auto" w:fill="C40012"/>
          </w:tcPr>
          <w:p w:rsidR="00F20CA3" w:rsidRDefault="00F20CA3">
            <w:pPr>
              <w:ind w:left="34"/>
              <w:rPr>
                <w:rFonts w:ascii="Humnst777 Lt BT" w:hAnsi="Humnst777 Lt BT"/>
                <w:sz w:val="20"/>
                <w:szCs w:val="20"/>
              </w:rPr>
            </w:pPr>
          </w:p>
        </w:tc>
        <w:tc>
          <w:tcPr>
            <w:tcW w:w="3685" w:type="dxa"/>
            <w:gridSpan w:val="4"/>
            <w:tcBorders>
              <w:top w:val="single" w:sz="8" w:space="0" w:color="C0504D"/>
              <w:left w:val="nil"/>
              <w:bottom w:val="single" w:sz="8" w:space="0" w:color="C0504D"/>
              <w:right w:val="single" w:sz="8" w:space="0" w:color="C0504D"/>
            </w:tcBorders>
            <w:shd w:val="clear" w:color="auto" w:fill="C40012"/>
          </w:tcPr>
          <w:p w:rsidR="00F20CA3" w:rsidRPr="00A61CC8" w:rsidRDefault="00F20CA3">
            <w:pPr>
              <w:ind w:left="34"/>
              <w:rPr>
                <w:sz w:val="20"/>
                <w:szCs w:val="20"/>
              </w:rPr>
            </w:pPr>
          </w:p>
        </w:tc>
      </w:tr>
      <w:tr w:rsidR="00F20CA3" w:rsidTr="00F20CA3">
        <w:trPr>
          <w:trHeight w:val="483"/>
        </w:trPr>
        <w:tc>
          <w:tcPr>
            <w:tcW w:w="397" w:type="dxa"/>
            <w:tcBorders>
              <w:top w:val="single" w:sz="8" w:space="0" w:color="C0504D"/>
              <w:left w:val="single" w:sz="8" w:space="0" w:color="C0504D"/>
              <w:bottom w:val="single" w:sz="8" w:space="0" w:color="C0504D"/>
              <w:right w:val="single" w:sz="12" w:space="0" w:color="C00000"/>
            </w:tcBorders>
          </w:tcPr>
          <w:p w:rsidR="00F20CA3" w:rsidRDefault="00F20CA3" w:rsidP="00F20CA3">
            <w:pPr>
              <w:numPr>
                <w:ilvl w:val="0"/>
                <w:numId w:val="7"/>
              </w:numPr>
              <w:ind w:left="318" w:hanging="284"/>
              <w:rPr>
                <w:rFonts w:ascii="Humnst777 Lt BT" w:hAnsi="Humnst777 Lt BT"/>
                <w:sz w:val="20"/>
                <w:szCs w:val="20"/>
              </w:rPr>
            </w:pPr>
          </w:p>
        </w:tc>
        <w:tc>
          <w:tcPr>
            <w:tcW w:w="2802" w:type="dxa"/>
            <w:gridSpan w:val="3"/>
            <w:tcBorders>
              <w:top w:val="single" w:sz="8" w:space="0" w:color="C0504D"/>
              <w:left w:val="nil"/>
              <w:bottom w:val="single" w:sz="8" w:space="0" w:color="C0504D"/>
              <w:right w:val="single" w:sz="12" w:space="0" w:color="C00000"/>
            </w:tcBorders>
            <w:hideMark/>
          </w:tcPr>
          <w:p w:rsidR="00F20CA3" w:rsidRDefault="00F20CA3" w:rsidP="00F20CA3">
            <w:pPr>
              <w:numPr>
                <w:ilvl w:val="0"/>
                <w:numId w:val="7"/>
              </w:numPr>
              <w:ind w:left="318" w:hanging="284"/>
              <w:rPr>
                <w:rFonts w:ascii="Humnst777 Lt BT" w:hAnsi="Humnst777 Lt BT"/>
                <w:sz w:val="20"/>
                <w:szCs w:val="20"/>
              </w:rPr>
            </w:pPr>
            <w:r>
              <w:rPr>
                <w:sz w:val="20"/>
                <w:szCs w:val="20"/>
              </w:rPr>
              <w:t>Management of the IA function</w:t>
            </w:r>
          </w:p>
        </w:tc>
        <w:tc>
          <w:tcPr>
            <w:tcW w:w="708" w:type="dxa"/>
            <w:tcBorders>
              <w:top w:val="single" w:sz="8" w:space="0" w:color="C0504D"/>
              <w:left w:val="single" w:sz="12" w:space="0" w:color="C00000"/>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gridSpan w:val="2"/>
            <w:tcBorders>
              <w:top w:val="single" w:sz="8" w:space="0" w:color="C0504D"/>
              <w:left w:val="single" w:sz="8" w:space="0" w:color="C0504D"/>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gridSpan w:val="2"/>
            <w:tcBorders>
              <w:top w:val="single" w:sz="8" w:space="0" w:color="C0504D"/>
              <w:left w:val="single" w:sz="8" w:space="0" w:color="C0504D"/>
              <w:bottom w:val="single" w:sz="8" w:space="0" w:color="C0504D"/>
              <w:right w:val="single" w:sz="8" w:space="0" w:color="C0504D"/>
            </w:tcBorders>
          </w:tcPr>
          <w:p w:rsidR="00F20CA3" w:rsidRDefault="00EC4B4D">
            <w:pPr>
              <w:ind w:left="34"/>
              <w:rPr>
                <w:rFonts w:ascii="Humnst777 Lt BT" w:hAnsi="Humnst777 Lt BT"/>
                <w:sz w:val="20"/>
                <w:szCs w:val="20"/>
              </w:rPr>
            </w:pPr>
            <w:r>
              <w:rPr>
                <w:rFonts w:ascii="Humnst777 Lt BT" w:hAnsi="Humnst777 Lt BT"/>
                <w:sz w:val="20"/>
                <w:szCs w:val="20"/>
              </w:rPr>
              <w:t>X</w:t>
            </w:r>
          </w:p>
        </w:tc>
        <w:tc>
          <w:tcPr>
            <w:tcW w:w="709" w:type="dxa"/>
            <w:tcBorders>
              <w:top w:val="single" w:sz="8" w:space="0" w:color="C0504D"/>
              <w:left w:val="single" w:sz="8" w:space="0" w:color="C0504D"/>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3685" w:type="dxa"/>
            <w:gridSpan w:val="4"/>
            <w:tcBorders>
              <w:top w:val="single" w:sz="8" w:space="0" w:color="C0504D"/>
              <w:left w:val="single" w:sz="8" w:space="0" w:color="C0504D"/>
              <w:bottom w:val="single" w:sz="8" w:space="0" w:color="C0504D"/>
              <w:right w:val="single" w:sz="8" w:space="0" w:color="C0504D"/>
            </w:tcBorders>
          </w:tcPr>
          <w:p w:rsidR="00F20CA3" w:rsidRPr="00A61CC8" w:rsidRDefault="00EC4B4D">
            <w:pPr>
              <w:ind w:left="34"/>
              <w:rPr>
                <w:sz w:val="20"/>
                <w:szCs w:val="20"/>
              </w:rPr>
            </w:pPr>
            <w:r w:rsidRPr="00A61CC8">
              <w:rPr>
                <w:sz w:val="20"/>
                <w:szCs w:val="20"/>
              </w:rPr>
              <w:t>See 3.</w:t>
            </w:r>
            <w:r w:rsidR="007A41E2">
              <w:rPr>
                <w:sz w:val="20"/>
                <w:szCs w:val="20"/>
              </w:rPr>
              <w:t>1</w:t>
            </w:r>
            <w:r w:rsidRPr="00A61CC8">
              <w:rPr>
                <w:sz w:val="20"/>
                <w:szCs w:val="20"/>
              </w:rPr>
              <w:t xml:space="preserve"> above</w:t>
            </w:r>
          </w:p>
        </w:tc>
      </w:tr>
      <w:tr w:rsidR="00F20CA3" w:rsidTr="00F20CA3">
        <w:trPr>
          <w:trHeight w:val="229"/>
        </w:trPr>
        <w:tc>
          <w:tcPr>
            <w:tcW w:w="397" w:type="dxa"/>
            <w:tcBorders>
              <w:top w:val="single" w:sz="8" w:space="0" w:color="C0504D"/>
              <w:left w:val="single" w:sz="8" w:space="0" w:color="C0504D"/>
              <w:bottom w:val="single" w:sz="8" w:space="0" w:color="C0504D"/>
              <w:right w:val="single" w:sz="12" w:space="0" w:color="C00000"/>
            </w:tcBorders>
          </w:tcPr>
          <w:p w:rsidR="00F20CA3" w:rsidRDefault="00F20CA3" w:rsidP="00F20CA3">
            <w:pPr>
              <w:numPr>
                <w:ilvl w:val="0"/>
                <w:numId w:val="7"/>
              </w:numPr>
              <w:ind w:left="318" w:hanging="284"/>
              <w:rPr>
                <w:rFonts w:ascii="Humnst777 Lt BT" w:hAnsi="Humnst777 Lt BT"/>
                <w:sz w:val="20"/>
                <w:szCs w:val="20"/>
              </w:rPr>
            </w:pPr>
          </w:p>
        </w:tc>
        <w:tc>
          <w:tcPr>
            <w:tcW w:w="2802" w:type="dxa"/>
            <w:gridSpan w:val="3"/>
            <w:tcBorders>
              <w:top w:val="single" w:sz="8" w:space="0" w:color="C0504D"/>
              <w:left w:val="nil"/>
              <w:bottom w:val="single" w:sz="8" w:space="0" w:color="C0504D"/>
              <w:right w:val="single" w:sz="12" w:space="0" w:color="C00000"/>
            </w:tcBorders>
            <w:hideMark/>
          </w:tcPr>
          <w:p w:rsidR="00F20CA3" w:rsidRDefault="00F20CA3" w:rsidP="00F20CA3">
            <w:pPr>
              <w:numPr>
                <w:ilvl w:val="0"/>
                <w:numId w:val="7"/>
              </w:numPr>
              <w:ind w:left="318" w:hanging="284"/>
              <w:rPr>
                <w:rFonts w:ascii="Humnst777 Lt BT" w:hAnsi="Humnst777 Lt BT"/>
                <w:sz w:val="20"/>
                <w:szCs w:val="20"/>
              </w:rPr>
            </w:pPr>
            <w:r>
              <w:rPr>
                <w:sz w:val="20"/>
                <w:szCs w:val="20"/>
              </w:rPr>
              <w:t>Engagement planning</w:t>
            </w:r>
          </w:p>
        </w:tc>
        <w:tc>
          <w:tcPr>
            <w:tcW w:w="708" w:type="dxa"/>
            <w:tcBorders>
              <w:top w:val="single" w:sz="8" w:space="0" w:color="C0504D"/>
              <w:left w:val="single" w:sz="12" w:space="0" w:color="C00000"/>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gridSpan w:val="2"/>
            <w:tcBorders>
              <w:top w:val="single" w:sz="8" w:space="0" w:color="C0504D"/>
              <w:left w:val="single" w:sz="8" w:space="0" w:color="C0504D"/>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gridSpan w:val="2"/>
            <w:tcBorders>
              <w:top w:val="single" w:sz="8" w:space="0" w:color="C0504D"/>
              <w:left w:val="single" w:sz="8" w:space="0" w:color="C0504D"/>
              <w:bottom w:val="single" w:sz="8" w:space="0" w:color="C0504D"/>
              <w:right w:val="single" w:sz="8" w:space="0" w:color="C0504D"/>
            </w:tcBorders>
          </w:tcPr>
          <w:p w:rsidR="00F20CA3" w:rsidRDefault="00EC4B4D">
            <w:pPr>
              <w:ind w:left="34"/>
              <w:rPr>
                <w:rFonts w:ascii="Humnst777 Lt BT" w:hAnsi="Humnst777 Lt BT"/>
                <w:sz w:val="20"/>
                <w:szCs w:val="20"/>
              </w:rPr>
            </w:pPr>
            <w:r>
              <w:rPr>
                <w:rFonts w:ascii="Humnst777 Lt BT" w:hAnsi="Humnst777 Lt BT"/>
                <w:sz w:val="20"/>
                <w:szCs w:val="20"/>
              </w:rPr>
              <w:t>X</w:t>
            </w:r>
          </w:p>
        </w:tc>
        <w:tc>
          <w:tcPr>
            <w:tcW w:w="709" w:type="dxa"/>
            <w:tcBorders>
              <w:top w:val="single" w:sz="8" w:space="0" w:color="C0504D"/>
              <w:left w:val="single" w:sz="8" w:space="0" w:color="C0504D"/>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3685" w:type="dxa"/>
            <w:gridSpan w:val="4"/>
            <w:tcBorders>
              <w:top w:val="single" w:sz="8" w:space="0" w:color="C0504D"/>
              <w:left w:val="single" w:sz="8" w:space="0" w:color="C0504D"/>
              <w:bottom w:val="single" w:sz="8" w:space="0" w:color="C0504D"/>
              <w:right w:val="single" w:sz="8" w:space="0" w:color="C0504D"/>
            </w:tcBorders>
          </w:tcPr>
          <w:p w:rsidR="00F20CA3" w:rsidRPr="00A61CC8" w:rsidRDefault="00EC4B4D">
            <w:pPr>
              <w:ind w:left="34"/>
              <w:rPr>
                <w:sz w:val="20"/>
                <w:szCs w:val="20"/>
              </w:rPr>
            </w:pPr>
            <w:r w:rsidRPr="00A61CC8">
              <w:rPr>
                <w:sz w:val="20"/>
                <w:szCs w:val="20"/>
              </w:rPr>
              <w:t>See 3.</w:t>
            </w:r>
            <w:r w:rsidR="007A41E2">
              <w:rPr>
                <w:sz w:val="20"/>
                <w:szCs w:val="20"/>
              </w:rPr>
              <w:t>4</w:t>
            </w:r>
            <w:r w:rsidRPr="00A61CC8">
              <w:rPr>
                <w:sz w:val="20"/>
                <w:szCs w:val="20"/>
              </w:rPr>
              <w:t xml:space="preserve"> above</w:t>
            </w:r>
          </w:p>
        </w:tc>
      </w:tr>
      <w:tr w:rsidR="00F20CA3" w:rsidTr="00F20CA3">
        <w:trPr>
          <w:trHeight w:val="247"/>
        </w:trPr>
        <w:tc>
          <w:tcPr>
            <w:tcW w:w="397" w:type="dxa"/>
            <w:tcBorders>
              <w:top w:val="single" w:sz="8" w:space="0" w:color="C0504D"/>
              <w:left w:val="single" w:sz="8" w:space="0" w:color="C0504D"/>
              <w:bottom w:val="single" w:sz="8" w:space="0" w:color="C0504D"/>
              <w:right w:val="single" w:sz="12" w:space="0" w:color="C00000"/>
            </w:tcBorders>
          </w:tcPr>
          <w:p w:rsidR="00F20CA3" w:rsidRDefault="00F20CA3" w:rsidP="00F20CA3">
            <w:pPr>
              <w:numPr>
                <w:ilvl w:val="0"/>
                <w:numId w:val="7"/>
              </w:numPr>
              <w:ind w:left="318" w:hanging="284"/>
              <w:rPr>
                <w:rFonts w:ascii="Humnst777 Lt BT" w:hAnsi="Humnst777 Lt BT"/>
                <w:sz w:val="20"/>
                <w:szCs w:val="20"/>
              </w:rPr>
            </w:pPr>
          </w:p>
        </w:tc>
        <w:tc>
          <w:tcPr>
            <w:tcW w:w="2802" w:type="dxa"/>
            <w:gridSpan w:val="3"/>
            <w:tcBorders>
              <w:top w:val="single" w:sz="8" w:space="0" w:color="C0504D"/>
              <w:left w:val="nil"/>
              <w:bottom w:val="single" w:sz="8" w:space="0" w:color="C0504D"/>
              <w:right w:val="single" w:sz="12" w:space="0" w:color="C00000"/>
            </w:tcBorders>
            <w:hideMark/>
          </w:tcPr>
          <w:p w:rsidR="00F20CA3" w:rsidRDefault="00F20CA3" w:rsidP="00F20CA3">
            <w:pPr>
              <w:numPr>
                <w:ilvl w:val="0"/>
                <w:numId w:val="7"/>
              </w:numPr>
              <w:ind w:left="318" w:hanging="284"/>
              <w:rPr>
                <w:rFonts w:ascii="Humnst777 Lt BT" w:hAnsi="Humnst777 Lt BT"/>
                <w:sz w:val="20"/>
                <w:szCs w:val="20"/>
              </w:rPr>
            </w:pPr>
            <w:r>
              <w:rPr>
                <w:sz w:val="20"/>
                <w:szCs w:val="20"/>
              </w:rPr>
              <w:t>Engagement delivery</w:t>
            </w:r>
          </w:p>
        </w:tc>
        <w:tc>
          <w:tcPr>
            <w:tcW w:w="708" w:type="dxa"/>
            <w:tcBorders>
              <w:top w:val="single" w:sz="8" w:space="0" w:color="C0504D"/>
              <w:left w:val="single" w:sz="12" w:space="0" w:color="C00000"/>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gridSpan w:val="2"/>
            <w:tcBorders>
              <w:top w:val="single" w:sz="8" w:space="0" w:color="C0504D"/>
              <w:left w:val="single" w:sz="8" w:space="0" w:color="C0504D"/>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gridSpan w:val="2"/>
            <w:tcBorders>
              <w:top w:val="single" w:sz="8" w:space="0" w:color="C0504D"/>
              <w:left w:val="single" w:sz="8" w:space="0" w:color="C0504D"/>
              <w:bottom w:val="single" w:sz="8" w:space="0" w:color="C0504D"/>
              <w:right w:val="single" w:sz="8" w:space="0" w:color="C0504D"/>
            </w:tcBorders>
          </w:tcPr>
          <w:p w:rsidR="00F20CA3" w:rsidRDefault="007A41E2">
            <w:pPr>
              <w:ind w:left="34"/>
              <w:rPr>
                <w:rFonts w:ascii="Humnst777 Lt BT" w:hAnsi="Humnst777 Lt BT"/>
                <w:sz w:val="20"/>
                <w:szCs w:val="20"/>
              </w:rPr>
            </w:pPr>
            <w:r>
              <w:rPr>
                <w:rFonts w:ascii="Humnst777 Lt BT" w:hAnsi="Humnst777 Lt BT"/>
                <w:sz w:val="20"/>
                <w:szCs w:val="20"/>
              </w:rPr>
              <w:t>X</w:t>
            </w:r>
          </w:p>
        </w:tc>
        <w:tc>
          <w:tcPr>
            <w:tcW w:w="709" w:type="dxa"/>
            <w:tcBorders>
              <w:top w:val="single" w:sz="8" w:space="0" w:color="C0504D"/>
              <w:left w:val="single" w:sz="8" w:space="0" w:color="C0504D"/>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3685" w:type="dxa"/>
            <w:gridSpan w:val="4"/>
            <w:tcBorders>
              <w:top w:val="single" w:sz="8" w:space="0" w:color="C0504D"/>
              <w:left w:val="single" w:sz="8" w:space="0" w:color="C0504D"/>
              <w:bottom w:val="single" w:sz="8" w:space="0" w:color="C0504D"/>
              <w:right w:val="single" w:sz="8" w:space="0" w:color="C0504D"/>
            </w:tcBorders>
          </w:tcPr>
          <w:p w:rsidR="00F20CA3" w:rsidRPr="00A61CC8" w:rsidRDefault="007A41E2" w:rsidP="007A41E2">
            <w:pPr>
              <w:ind w:left="34"/>
              <w:rPr>
                <w:sz w:val="20"/>
                <w:szCs w:val="20"/>
              </w:rPr>
            </w:pPr>
            <w:r>
              <w:rPr>
                <w:sz w:val="20"/>
                <w:szCs w:val="20"/>
              </w:rPr>
              <w:t>See 3.5</w:t>
            </w:r>
          </w:p>
        </w:tc>
      </w:tr>
      <w:tr w:rsidR="00F20CA3" w:rsidTr="00F20CA3">
        <w:trPr>
          <w:trHeight w:val="251"/>
        </w:trPr>
        <w:tc>
          <w:tcPr>
            <w:tcW w:w="397" w:type="dxa"/>
            <w:tcBorders>
              <w:top w:val="single" w:sz="8" w:space="0" w:color="C0504D"/>
              <w:left w:val="single" w:sz="8" w:space="0" w:color="C0504D"/>
              <w:bottom w:val="single" w:sz="8" w:space="0" w:color="C0504D"/>
              <w:right w:val="single" w:sz="12" w:space="0" w:color="C00000"/>
            </w:tcBorders>
          </w:tcPr>
          <w:p w:rsidR="00F20CA3" w:rsidRDefault="00F20CA3" w:rsidP="00F20CA3">
            <w:pPr>
              <w:numPr>
                <w:ilvl w:val="0"/>
                <w:numId w:val="7"/>
              </w:numPr>
              <w:ind w:left="318" w:hanging="284"/>
              <w:rPr>
                <w:rFonts w:ascii="Humnst777 Lt BT" w:hAnsi="Humnst777 Lt BT"/>
                <w:sz w:val="20"/>
                <w:szCs w:val="20"/>
              </w:rPr>
            </w:pPr>
          </w:p>
        </w:tc>
        <w:tc>
          <w:tcPr>
            <w:tcW w:w="2802" w:type="dxa"/>
            <w:gridSpan w:val="3"/>
            <w:tcBorders>
              <w:top w:val="single" w:sz="8" w:space="0" w:color="C0504D"/>
              <w:left w:val="nil"/>
              <w:bottom w:val="single" w:sz="8" w:space="0" w:color="C0504D"/>
              <w:right w:val="single" w:sz="12" w:space="0" w:color="C00000"/>
            </w:tcBorders>
            <w:hideMark/>
          </w:tcPr>
          <w:p w:rsidR="00F20CA3" w:rsidRDefault="00F20CA3" w:rsidP="00F20CA3">
            <w:pPr>
              <w:numPr>
                <w:ilvl w:val="0"/>
                <w:numId w:val="7"/>
              </w:numPr>
              <w:ind w:left="318" w:hanging="284"/>
              <w:rPr>
                <w:rFonts w:ascii="Humnst777 Lt BT" w:hAnsi="Humnst777 Lt BT"/>
                <w:sz w:val="20"/>
                <w:szCs w:val="20"/>
              </w:rPr>
            </w:pPr>
            <w:r>
              <w:rPr>
                <w:sz w:val="20"/>
                <w:szCs w:val="20"/>
              </w:rPr>
              <w:t>Reporting</w:t>
            </w:r>
          </w:p>
        </w:tc>
        <w:tc>
          <w:tcPr>
            <w:tcW w:w="708" w:type="dxa"/>
            <w:tcBorders>
              <w:top w:val="single" w:sz="8" w:space="0" w:color="C0504D"/>
              <w:left w:val="single" w:sz="12" w:space="0" w:color="C00000"/>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gridSpan w:val="2"/>
            <w:tcBorders>
              <w:top w:val="single" w:sz="8" w:space="0" w:color="C0504D"/>
              <w:left w:val="single" w:sz="8" w:space="0" w:color="C0504D"/>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gridSpan w:val="2"/>
            <w:tcBorders>
              <w:top w:val="single" w:sz="8" w:space="0" w:color="C0504D"/>
              <w:left w:val="single" w:sz="8" w:space="0" w:color="C0504D"/>
              <w:bottom w:val="single" w:sz="8" w:space="0" w:color="C0504D"/>
              <w:right w:val="single" w:sz="8" w:space="0" w:color="C0504D"/>
            </w:tcBorders>
          </w:tcPr>
          <w:p w:rsidR="00F20CA3" w:rsidRDefault="00EC4B4D">
            <w:pPr>
              <w:ind w:left="34"/>
              <w:rPr>
                <w:rFonts w:ascii="Humnst777 Lt BT" w:hAnsi="Humnst777 Lt BT"/>
                <w:sz w:val="20"/>
                <w:szCs w:val="20"/>
              </w:rPr>
            </w:pPr>
            <w:r>
              <w:rPr>
                <w:rFonts w:ascii="Humnst777 Lt BT" w:hAnsi="Humnst777 Lt BT"/>
                <w:sz w:val="20"/>
                <w:szCs w:val="20"/>
              </w:rPr>
              <w:t>X</w:t>
            </w:r>
          </w:p>
        </w:tc>
        <w:tc>
          <w:tcPr>
            <w:tcW w:w="709" w:type="dxa"/>
            <w:tcBorders>
              <w:top w:val="single" w:sz="8" w:space="0" w:color="C0504D"/>
              <w:left w:val="single" w:sz="8" w:space="0" w:color="C0504D"/>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3685" w:type="dxa"/>
            <w:gridSpan w:val="4"/>
            <w:tcBorders>
              <w:top w:val="single" w:sz="8" w:space="0" w:color="C0504D"/>
              <w:left w:val="single" w:sz="8" w:space="0" w:color="C0504D"/>
              <w:bottom w:val="single" w:sz="8" w:space="0" w:color="C0504D"/>
              <w:right w:val="single" w:sz="8" w:space="0" w:color="C0504D"/>
            </w:tcBorders>
          </w:tcPr>
          <w:p w:rsidR="00F20CA3" w:rsidRPr="00A61CC8" w:rsidRDefault="00EC4B4D" w:rsidP="007A41E2">
            <w:pPr>
              <w:ind w:left="34"/>
              <w:rPr>
                <w:sz w:val="20"/>
                <w:szCs w:val="20"/>
              </w:rPr>
            </w:pPr>
            <w:r w:rsidRPr="00A61CC8">
              <w:rPr>
                <w:sz w:val="20"/>
                <w:szCs w:val="20"/>
              </w:rPr>
              <w:t>See 3.</w:t>
            </w:r>
            <w:r w:rsidR="007A41E2">
              <w:rPr>
                <w:sz w:val="20"/>
                <w:szCs w:val="20"/>
              </w:rPr>
              <w:t>6</w:t>
            </w:r>
          </w:p>
        </w:tc>
      </w:tr>
      <w:tr w:rsidR="00F20CA3" w:rsidTr="00F20CA3">
        <w:trPr>
          <w:trHeight w:val="850"/>
        </w:trPr>
        <w:tc>
          <w:tcPr>
            <w:tcW w:w="397" w:type="dxa"/>
            <w:tcBorders>
              <w:top w:val="single" w:sz="8" w:space="0" w:color="C0504D"/>
              <w:left w:val="single" w:sz="8" w:space="0" w:color="C0504D"/>
              <w:bottom w:val="single" w:sz="8" w:space="0" w:color="C0504D"/>
              <w:right w:val="single" w:sz="12" w:space="0" w:color="C00000"/>
            </w:tcBorders>
            <w:shd w:val="clear" w:color="auto" w:fill="C40012"/>
          </w:tcPr>
          <w:p w:rsidR="00F20CA3" w:rsidRDefault="00F20CA3">
            <w:pPr>
              <w:pStyle w:val="BodyText3"/>
              <w:spacing w:before="60" w:after="60"/>
              <w:rPr>
                <w:color w:val="FFFFFF"/>
              </w:rPr>
            </w:pPr>
          </w:p>
        </w:tc>
        <w:tc>
          <w:tcPr>
            <w:tcW w:w="2802" w:type="dxa"/>
            <w:gridSpan w:val="3"/>
            <w:tcBorders>
              <w:top w:val="single" w:sz="8" w:space="0" w:color="C0504D"/>
              <w:left w:val="nil"/>
              <w:bottom w:val="single" w:sz="8" w:space="0" w:color="C0504D"/>
              <w:right w:val="single" w:sz="12" w:space="0" w:color="C00000"/>
            </w:tcBorders>
            <w:shd w:val="clear" w:color="auto" w:fill="C40012"/>
          </w:tcPr>
          <w:p w:rsidR="00F20CA3" w:rsidRDefault="00F20CA3">
            <w:pPr>
              <w:pStyle w:val="BodyText3"/>
              <w:spacing w:before="60" w:after="60"/>
              <w:rPr>
                <w:color w:val="FFFFFF"/>
              </w:rPr>
            </w:pPr>
          </w:p>
        </w:tc>
        <w:tc>
          <w:tcPr>
            <w:tcW w:w="708" w:type="dxa"/>
            <w:tcBorders>
              <w:top w:val="single" w:sz="8" w:space="0" w:color="C0504D"/>
              <w:left w:val="single" w:sz="12" w:space="0" w:color="C00000"/>
              <w:bottom w:val="single" w:sz="8" w:space="0" w:color="C0504D"/>
              <w:right w:val="nil"/>
            </w:tcBorders>
            <w:shd w:val="clear" w:color="auto" w:fill="C40012"/>
            <w:textDirection w:val="btLr"/>
            <w:hideMark/>
          </w:tcPr>
          <w:p w:rsidR="00F20CA3" w:rsidRDefault="00F20CA3">
            <w:pPr>
              <w:ind w:left="34"/>
              <w:rPr>
                <w:rFonts w:ascii="Humnst777 Lt BT" w:hAnsi="Humnst777 Lt BT"/>
                <w:sz w:val="20"/>
                <w:szCs w:val="20"/>
              </w:rPr>
            </w:pPr>
            <w:r>
              <w:rPr>
                <w:rFonts w:cs="Arial"/>
                <w:color w:val="FFFFFF"/>
                <w:sz w:val="16"/>
                <w:szCs w:val="16"/>
              </w:rPr>
              <w:t>Do not agree</w:t>
            </w:r>
          </w:p>
        </w:tc>
        <w:tc>
          <w:tcPr>
            <w:tcW w:w="709" w:type="dxa"/>
            <w:gridSpan w:val="2"/>
            <w:tcBorders>
              <w:top w:val="single" w:sz="8" w:space="0" w:color="C0504D"/>
              <w:left w:val="nil"/>
              <w:bottom w:val="single" w:sz="8" w:space="0" w:color="C0504D"/>
              <w:right w:val="nil"/>
            </w:tcBorders>
            <w:shd w:val="clear" w:color="auto" w:fill="C40012"/>
            <w:textDirection w:val="btLr"/>
            <w:hideMark/>
          </w:tcPr>
          <w:p w:rsidR="00F20CA3" w:rsidRDefault="00F20CA3">
            <w:pPr>
              <w:ind w:left="34"/>
              <w:rPr>
                <w:rFonts w:ascii="Humnst777 Lt BT" w:hAnsi="Humnst777 Lt BT"/>
                <w:sz w:val="20"/>
                <w:szCs w:val="20"/>
              </w:rPr>
            </w:pPr>
            <w:r>
              <w:rPr>
                <w:rFonts w:cs="Arial"/>
                <w:color w:val="FFFFFF"/>
                <w:sz w:val="16"/>
                <w:szCs w:val="16"/>
              </w:rPr>
              <w:t>Partially agree</w:t>
            </w:r>
          </w:p>
        </w:tc>
        <w:tc>
          <w:tcPr>
            <w:tcW w:w="709" w:type="dxa"/>
            <w:gridSpan w:val="2"/>
            <w:tcBorders>
              <w:top w:val="single" w:sz="8" w:space="0" w:color="C0504D"/>
              <w:left w:val="nil"/>
              <w:bottom w:val="single" w:sz="8" w:space="0" w:color="C0504D"/>
              <w:right w:val="nil"/>
            </w:tcBorders>
            <w:shd w:val="clear" w:color="auto" w:fill="C40012"/>
            <w:textDirection w:val="btLr"/>
            <w:hideMark/>
          </w:tcPr>
          <w:p w:rsidR="00F20CA3" w:rsidRDefault="00F20CA3">
            <w:pPr>
              <w:ind w:left="34"/>
              <w:rPr>
                <w:rFonts w:ascii="Humnst777 Lt BT" w:hAnsi="Humnst777 Lt BT"/>
                <w:sz w:val="20"/>
                <w:szCs w:val="20"/>
              </w:rPr>
            </w:pPr>
            <w:r>
              <w:rPr>
                <w:rFonts w:cs="Arial"/>
                <w:color w:val="FFFFFF"/>
                <w:sz w:val="16"/>
                <w:szCs w:val="16"/>
              </w:rPr>
              <w:t>Generally agree</w:t>
            </w:r>
          </w:p>
        </w:tc>
        <w:tc>
          <w:tcPr>
            <w:tcW w:w="709" w:type="dxa"/>
            <w:tcBorders>
              <w:top w:val="single" w:sz="8" w:space="0" w:color="C0504D"/>
              <w:left w:val="nil"/>
              <w:bottom w:val="single" w:sz="8" w:space="0" w:color="C0504D"/>
              <w:right w:val="nil"/>
            </w:tcBorders>
            <w:shd w:val="clear" w:color="auto" w:fill="C40012"/>
            <w:textDirection w:val="btLr"/>
            <w:hideMark/>
          </w:tcPr>
          <w:p w:rsidR="00F20CA3" w:rsidRDefault="00F20CA3">
            <w:pPr>
              <w:ind w:left="34"/>
              <w:rPr>
                <w:rFonts w:ascii="Humnst777 Lt BT" w:hAnsi="Humnst777 Lt BT"/>
                <w:sz w:val="20"/>
                <w:szCs w:val="20"/>
              </w:rPr>
            </w:pPr>
            <w:r>
              <w:rPr>
                <w:rFonts w:cs="Arial"/>
                <w:color w:val="FFFFFF"/>
                <w:sz w:val="16"/>
                <w:szCs w:val="16"/>
              </w:rPr>
              <w:t>Fully agree</w:t>
            </w:r>
          </w:p>
        </w:tc>
        <w:tc>
          <w:tcPr>
            <w:tcW w:w="3685" w:type="dxa"/>
            <w:gridSpan w:val="4"/>
            <w:tcBorders>
              <w:top w:val="single" w:sz="8" w:space="0" w:color="C0504D"/>
              <w:left w:val="nil"/>
              <w:bottom w:val="single" w:sz="8" w:space="0" w:color="C0504D"/>
              <w:right w:val="single" w:sz="8" w:space="0" w:color="C0504D"/>
            </w:tcBorders>
            <w:shd w:val="clear" w:color="auto" w:fill="C40012"/>
            <w:vAlign w:val="bottom"/>
            <w:hideMark/>
          </w:tcPr>
          <w:p w:rsidR="00F20CA3" w:rsidRDefault="00F20CA3">
            <w:pPr>
              <w:ind w:left="34"/>
              <w:rPr>
                <w:rFonts w:ascii="Humnst777 Lt BT" w:hAnsi="Humnst777 Lt BT"/>
                <w:sz w:val="20"/>
                <w:szCs w:val="20"/>
              </w:rPr>
            </w:pPr>
            <w:r>
              <w:rPr>
                <w:color w:val="FFFFFF"/>
              </w:rPr>
              <w:t>Comments</w:t>
            </w:r>
          </w:p>
        </w:tc>
      </w:tr>
      <w:tr w:rsidR="00F20CA3" w:rsidTr="00F20CA3">
        <w:trPr>
          <w:trHeight w:val="406"/>
        </w:trPr>
        <w:tc>
          <w:tcPr>
            <w:tcW w:w="397" w:type="dxa"/>
            <w:tcBorders>
              <w:top w:val="single" w:sz="8" w:space="0" w:color="C0504D"/>
              <w:left w:val="single" w:sz="8" w:space="0" w:color="C0504D"/>
              <w:bottom w:val="single" w:sz="8" w:space="0" w:color="C0504D"/>
              <w:right w:val="single" w:sz="12" w:space="0" w:color="C00000"/>
            </w:tcBorders>
            <w:shd w:val="clear" w:color="auto" w:fill="C40012"/>
          </w:tcPr>
          <w:p w:rsidR="00F20CA3" w:rsidRDefault="00F20CA3">
            <w:pPr>
              <w:pStyle w:val="BodyText3"/>
              <w:spacing w:before="60" w:after="60"/>
              <w:rPr>
                <w:color w:val="FFFFFF"/>
              </w:rPr>
            </w:pPr>
          </w:p>
        </w:tc>
        <w:tc>
          <w:tcPr>
            <w:tcW w:w="2802" w:type="dxa"/>
            <w:gridSpan w:val="3"/>
            <w:tcBorders>
              <w:top w:val="single" w:sz="8" w:space="0" w:color="C0504D"/>
              <w:left w:val="nil"/>
              <w:bottom w:val="single" w:sz="8" w:space="0" w:color="C0504D"/>
              <w:right w:val="single" w:sz="12" w:space="0" w:color="C00000"/>
            </w:tcBorders>
            <w:shd w:val="clear" w:color="auto" w:fill="C40012"/>
            <w:hideMark/>
          </w:tcPr>
          <w:p w:rsidR="00F20CA3" w:rsidRDefault="00F20CA3">
            <w:pPr>
              <w:pStyle w:val="BodyText3"/>
              <w:spacing w:before="60" w:after="60"/>
              <w:rPr>
                <w:sz w:val="20"/>
                <w:szCs w:val="20"/>
              </w:rPr>
            </w:pPr>
            <w:r>
              <w:rPr>
                <w:color w:val="FFFFFF"/>
              </w:rPr>
              <w:t>Impact</w:t>
            </w:r>
          </w:p>
        </w:tc>
        <w:tc>
          <w:tcPr>
            <w:tcW w:w="708" w:type="dxa"/>
            <w:tcBorders>
              <w:top w:val="single" w:sz="8" w:space="0" w:color="C0504D"/>
              <w:left w:val="single" w:sz="12" w:space="0" w:color="C00000"/>
              <w:bottom w:val="single" w:sz="8" w:space="0" w:color="C0504D"/>
              <w:right w:val="nil"/>
            </w:tcBorders>
            <w:shd w:val="clear" w:color="auto" w:fill="C40012"/>
          </w:tcPr>
          <w:p w:rsidR="00F20CA3" w:rsidRDefault="00F20CA3">
            <w:pPr>
              <w:ind w:left="34"/>
              <w:rPr>
                <w:rFonts w:ascii="Humnst777 Lt BT" w:hAnsi="Humnst777 Lt BT"/>
                <w:sz w:val="20"/>
                <w:szCs w:val="20"/>
              </w:rPr>
            </w:pPr>
          </w:p>
        </w:tc>
        <w:tc>
          <w:tcPr>
            <w:tcW w:w="709" w:type="dxa"/>
            <w:gridSpan w:val="2"/>
            <w:tcBorders>
              <w:top w:val="single" w:sz="8" w:space="0" w:color="C0504D"/>
              <w:left w:val="nil"/>
              <w:bottom w:val="single" w:sz="8" w:space="0" w:color="C0504D"/>
              <w:right w:val="nil"/>
            </w:tcBorders>
            <w:shd w:val="clear" w:color="auto" w:fill="C40012"/>
          </w:tcPr>
          <w:p w:rsidR="00F20CA3" w:rsidRDefault="00F20CA3">
            <w:pPr>
              <w:ind w:left="34"/>
              <w:rPr>
                <w:rFonts w:ascii="Humnst777 Lt BT" w:hAnsi="Humnst777 Lt BT"/>
                <w:sz w:val="20"/>
                <w:szCs w:val="20"/>
              </w:rPr>
            </w:pPr>
          </w:p>
        </w:tc>
        <w:tc>
          <w:tcPr>
            <w:tcW w:w="709" w:type="dxa"/>
            <w:gridSpan w:val="2"/>
            <w:tcBorders>
              <w:top w:val="single" w:sz="8" w:space="0" w:color="C0504D"/>
              <w:left w:val="nil"/>
              <w:bottom w:val="single" w:sz="8" w:space="0" w:color="C0504D"/>
              <w:right w:val="nil"/>
            </w:tcBorders>
            <w:shd w:val="clear" w:color="auto" w:fill="C40012"/>
          </w:tcPr>
          <w:p w:rsidR="00F20CA3" w:rsidRDefault="00F20CA3">
            <w:pPr>
              <w:ind w:left="34"/>
              <w:rPr>
                <w:rFonts w:ascii="Humnst777 Lt BT" w:hAnsi="Humnst777 Lt BT"/>
                <w:sz w:val="20"/>
                <w:szCs w:val="20"/>
              </w:rPr>
            </w:pPr>
          </w:p>
        </w:tc>
        <w:tc>
          <w:tcPr>
            <w:tcW w:w="709" w:type="dxa"/>
            <w:tcBorders>
              <w:top w:val="single" w:sz="8" w:space="0" w:color="C0504D"/>
              <w:left w:val="nil"/>
              <w:bottom w:val="single" w:sz="8" w:space="0" w:color="C0504D"/>
              <w:right w:val="nil"/>
            </w:tcBorders>
            <w:shd w:val="clear" w:color="auto" w:fill="C40012"/>
          </w:tcPr>
          <w:p w:rsidR="00F20CA3" w:rsidRDefault="00F20CA3">
            <w:pPr>
              <w:ind w:left="34"/>
              <w:rPr>
                <w:rFonts w:ascii="Humnst777 Lt BT" w:hAnsi="Humnst777 Lt BT"/>
                <w:sz w:val="20"/>
                <w:szCs w:val="20"/>
              </w:rPr>
            </w:pPr>
          </w:p>
        </w:tc>
        <w:tc>
          <w:tcPr>
            <w:tcW w:w="3685" w:type="dxa"/>
            <w:gridSpan w:val="4"/>
            <w:tcBorders>
              <w:top w:val="single" w:sz="8" w:space="0" w:color="C0504D"/>
              <w:left w:val="nil"/>
              <w:bottom w:val="single" w:sz="8" w:space="0" w:color="C0504D"/>
              <w:right w:val="single" w:sz="8" w:space="0" w:color="C0504D"/>
            </w:tcBorders>
            <w:shd w:val="clear" w:color="auto" w:fill="C40012"/>
          </w:tcPr>
          <w:p w:rsidR="00F20CA3" w:rsidRDefault="00F20CA3">
            <w:pPr>
              <w:ind w:left="34"/>
              <w:rPr>
                <w:rFonts w:ascii="Humnst777 Lt BT" w:hAnsi="Humnst777 Lt BT"/>
                <w:sz w:val="20"/>
                <w:szCs w:val="20"/>
              </w:rPr>
            </w:pPr>
          </w:p>
        </w:tc>
      </w:tr>
      <w:tr w:rsidR="00F20CA3" w:rsidTr="00F20CA3">
        <w:trPr>
          <w:trHeight w:val="167"/>
        </w:trPr>
        <w:tc>
          <w:tcPr>
            <w:tcW w:w="397" w:type="dxa"/>
            <w:tcBorders>
              <w:top w:val="single" w:sz="8" w:space="0" w:color="C0504D"/>
              <w:left w:val="single" w:sz="8" w:space="0" w:color="C0504D"/>
              <w:bottom w:val="single" w:sz="8" w:space="0" w:color="C0504D"/>
              <w:right w:val="single" w:sz="12" w:space="0" w:color="C00000"/>
            </w:tcBorders>
          </w:tcPr>
          <w:p w:rsidR="00F20CA3" w:rsidRDefault="00F20CA3" w:rsidP="00F20CA3">
            <w:pPr>
              <w:numPr>
                <w:ilvl w:val="0"/>
                <w:numId w:val="7"/>
              </w:numPr>
              <w:ind w:left="318" w:hanging="284"/>
              <w:rPr>
                <w:rFonts w:ascii="Humnst777 Lt BT" w:hAnsi="Humnst777 Lt BT"/>
                <w:sz w:val="20"/>
                <w:szCs w:val="20"/>
              </w:rPr>
            </w:pPr>
          </w:p>
        </w:tc>
        <w:tc>
          <w:tcPr>
            <w:tcW w:w="2802" w:type="dxa"/>
            <w:gridSpan w:val="3"/>
            <w:tcBorders>
              <w:top w:val="single" w:sz="8" w:space="0" w:color="C0504D"/>
              <w:left w:val="nil"/>
              <w:bottom w:val="single" w:sz="8" w:space="0" w:color="C0504D"/>
              <w:right w:val="single" w:sz="12" w:space="0" w:color="C00000"/>
            </w:tcBorders>
            <w:hideMark/>
          </w:tcPr>
          <w:p w:rsidR="00F20CA3" w:rsidRDefault="00F20CA3" w:rsidP="00F20CA3">
            <w:pPr>
              <w:numPr>
                <w:ilvl w:val="0"/>
                <w:numId w:val="7"/>
              </w:numPr>
              <w:ind w:left="318" w:hanging="284"/>
              <w:rPr>
                <w:rFonts w:ascii="Humnst777 Lt BT" w:hAnsi="Humnst777 Lt BT"/>
                <w:sz w:val="20"/>
                <w:szCs w:val="20"/>
              </w:rPr>
            </w:pPr>
            <w:r>
              <w:rPr>
                <w:sz w:val="20"/>
                <w:szCs w:val="20"/>
              </w:rPr>
              <w:t>Standing and reputation of internal audit</w:t>
            </w:r>
          </w:p>
        </w:tc>
        <w:tc>
          <w:tcPr>
            <w:tcW w:w="708" w:type="dxa"/>
            <w:tcBorders>
              <w:top w:val="single" w:sz="8" w:space="0" w:color="C0504D"/>
              <w:left w:val="single" w:sz="12" w:space="0" w:color="C00000"/>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gridSpan w:val="2"/>
            <w:tcBorders>
              <w:top w:val="single" w:sz="8" w:space="0" w:color="C0504D"/>
              <w:left w:val="single" w:sz="8" w:space="0" w:color="C0504D"/>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gridSpan w:val="2"/>
            <w:tcBorders>
              <w:top w:val="single" w:sz="8" w:space="0" w:color="C0504D"/>
              <w:left w:val="single" w:sz="8" w:space="0" w:color="C0504D"/>
              <w:bottom w:val="single" w:sz="8" w:space="0" w:color="C0504D"/>
              <w:right w:val="single" w:sz="8" w:space="0" w:color="C0504D"/>
            </w:tcBorders>
          </w:tcPr>
          <w:p w:rsidR="00F20CA3" w:rsidRDefault="00E66188">
            <w:pPr>
              <w:ind w:left="34"/>
              <w:rPr>
                <w:rFonts w:ascii="Humnst777 Lt BT" w:hAnsi="Humnst777 Lt BT"/>
                <w:sz w:val="20"/>
                <w:szCs w:val="20"/>
              </w:rPr>
            </w:pPr>
            <w:r>
              <w:rPr>
                <w:rFonts w:ascii="Humnst777 Lt BT" w:hAnsi="Humnst777 Lt BT"/>
                <w:sz w:val="20"/>
                <w:szCs w:val="20"/>
              </w:rPr>
              <w:t>X</w:t>
            </w:r>
          </w:p>
        </w:tc>
        <w:tc>
          <w:tcPr>
            <w:tcW w:w="709" w:type="dxa"/>
            <w:tcBorders>
              <w:top w:val="single" w:sz="8" w:space="0" w:color="C0504D"/>
              <w:left w:val="single" w:sz="8" w:space="0" w:color="C0504D"/>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3685" w:type="dxa"/>
            <w:gridSpan w:val="4"/>
            <w:tcBorders>
              <w:top w:val="single" w:sz="8" w:space="0" w:color="C0504D"/>
              <w:left w:val="single" w:sz="8" w:space="0" w:color="C0504D"/>
              <w:bottom w:val="single" w:sz="8" w:space="0" w:color="C0504D"/>
              <w:right w:val="single" w:sz="8" w:space="0" w:color="C0504D"/>
            </w:tcBorders>
          </w:tcPr>
          <w:p w:rsidR="00F20CA3" w:rsidRPr="00A61CC8" w:rsidRDefault="00A61CC8">
            <w:pPr>
              <w:ind w:left="34"/>
              <w:rPr>
                <w:sz w:val="20"/>
                <w:szCs w:val="20"/>
              </w:rPr>
            </w:pPr>
            <w:r w:rsidRPr="00A61CC8">
              <w:rPr>
                <w:sz w:val="20"/>
                <w:szCs w:val="20"/>
              </w:rPr>
              <w:t xml:space="preserve">See </w:t>
            </w:r>
            <w:r w:rsidR="004A74A2">
              <w:rPr>
                <w:sz w:val="20"/>
                <w:szCs w:val="20"/>
              </w:rPr>
              <w:t xml:space="preserve">3.7 and </w:t>
            </w:r>
            <w:r w:rsidRPr="00A61CC8">
              <w:rPr>
                <w:sz w:val="20"/>
                <w:szCs w:val="20"/>
              </w:rPr>
              <w:t>3.8</w:t>
            </w:r>
            <w:r w:rsidR="00E66188" w:rsidRPr="00A61CC8">
              <w:rPr>
                <w:sz w:val="20"/>
                <w:szCs w:val="20"/>
              </w:rPr>
              <w:t xml:space="preserve"> above</w:t>
            </w:r>
          </w:p>
        </w:tc>
      </w:tr>
      <w:tr w:rsidR="00F20CA3" w:rsidTr="00F20CA3">
        <w:trPr>
          <w:trHeight w:val="299"/>
        </w:trPr>
        <w:tc>
          <w:tcPr>
            <w:tcW w:w="397" w:type="dxa"/>
            <w:tcBorders>
              <w:top w:val="single" w:sz="8" w:space="0" w:color="C0504D"/>
              <w:left w:val="single" w:sz="8" w:space="0" w:color="C0504D"/>
              <w:bottom w:val="single" w:sz="8" w:space="0" w:color="C0504D"/>
              <w:right w:val="single" w:sz="12" w:space="0" w:color="C00000"/>
            </w:tcBorders>
          </w:tcPr>
          <w:p w:rsidR="00F20CA3" w:rsidRDefault="00F20CA3" w:rsidP="00F20CA3">
            <w:pPr>
              <w:numPr>
                <w:ilvl w:val="0"/>
                <w:numId w:val="7"/>
              </w:numPr>
              <w:ind w:left="318" w:hanging="284"/>
              <w:rPr>
                <w:rFonts w:ascii="Humnst777 Lt BT" w:hAnsi="Humnst777 Lt BT"/>
                <w:sz w:val="20"/>
                <w:szCs w:val="20"/>
              </w:rPr>
            </w:pPr>
          </w:p>
        </w:tc>
        <w:tc>
          <w:tcPr>
            <w:tcW w:w="2802" w:type="dxa"/>
            <w:gridSpan w:val="3"/>
            <w:tcBorders>
              <w:top w:val="single" w:sz="8" w:space="0" w:color="C0504D"/>
              <w:left w:val="nil"/>
              <w:bottom w:val="single" w:sz="8" w:space="0" w:color="C0504D"/>
              <w:right w:val="single" w:sz="12" w:space="0" w:color="C00000"/>
            </w:tcBorders>
            <w:hideMark/>
          </w:tcPr>
          <w:p w:rsidR="00F20CA3" w:rsidRDefault="00F20CA3" w:rsidP="00F20CA3">
            <w:pPr>
              <w:numPr>
                <w:ilvl w:val="0"/>
                <w:numId w:val="7"/>
              </w:numPr>
              <w:ind w:left="318" w:hanging="284"/>
              <w:rPr>
                <w:rFonts w:ascii="Humnst777 Lt BT" w:hAnsi="Humnst777 Lt BT"/>
                <w:sz w:val="20"/>
                <w:szCs w:val="20"/>
              </w:rPr>
            </w:pPr>
            <w:r>
              <w:rPr>
                <w:sz w:val="20"/>
                <w:szCs w:val="20"/>
              </w:rPr>
              <w:t>Impact on organisational delivery</w:t>
            </w:r>
          </w:p>
        </w:tc>
        <w:tc>
          <w:tcPr>
            <w:tcW w:w="708" w:type="dxa"/>
            <w:tcBorders>
              <w:top w:val="single" w:sz="8" w:space="0" w:color="C0504D"/>
              <w:left w:val="single" w:sz="12" w:space="0" w:color="C00000"/>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gridSpan w:val="2"/>
            <w:tcBorders>
              <w:top w:val="single" w:sz="8" w:space="0" w:color="C0504D"/>
              <w:left w:val="single" w:sz="8" w:space="0" w:color="C0504D"/>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gridSpan w:val="2"/>
            <w:tcBorders>
              <w:top w:val="single" w:sz="8" w:space="0" w:color="C0504D"/>
              <w:left w:val="single" w:sz="8" w:space="0" w:color="C0504D"/>
              <w:bottom w:val="single" w:sz="8" w:space="0" w:color="C0504D"/>
              <w:right w:val="single" w:sz="8" w:space="0" w:color="C0504D"/>
            </w:tcBorders>
          </w:tcPr>
          <w:p w:rsidR="00F20CA3" w:rsidRDefault="00A61CC8">
            <w:pPr>
              <w:ind w:left="34"/>
              <w:rPr>
                <w:rFonts w:ascii="Humnst777 Lt BT" w:hAnsi="Humnst777 Lt BT"/>
                <w:sz w:val="20"/>
                <w:szCs w:val="20"/>
              </w:rPr>
            </w:pPr>
            <w:r>
              <w:rPr>
                <w:rFonts w:ascii="Humnst777 Lt BT" w:hAnsi="Humnst777 Lt BT"/>
                <w:sz w:val="20"/>
                <w:szCs w:val="20"/>
              </w:rPr>
              <w:t>X</w:t>
            </w:r>
          </w:p>
        </w:tc>
        <w:tc>
          <w:tcPr>
            <w:tcW w:w="709" w:type="dxa"/>
            <w:tcBorders>
              <w:top w:val="single" w:sz="8" w:space="0" w:color="C0504D"/>
              <w:left w:val="single" w:sz="8" w:space="0" w:color="C0504D"/>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3685" w:type="dxa"/>
            <w:gridSpan w:val="4"/>
            <w:tcBorders>
              <w:top w:val="single" w:sz="8" w:space="0" w:color="C0504D"/>
              <w:left w:val="single" w:sz="8" w:space="0" w:color="C0504D"/>
              <w:bottom w:val="single" w:sz="8" w:space="0" w:color="C0504D"/>
              <w:right w:val="single" w:sz="8" w:space="0" w:color="C0504D"/>
            </w:tcBorders>
          </w:tcPr>
          <w:p w:rsidR="00F20CA3" w:rsidRPr="00A61CC8" w:rsidRDefault="00A61CC8">
            <w:pPr>
              <w:ind w:left="34"/>
              <w:rPr>
                <w:sz w:val="20"/>
                <w:szCs w:val="20"/>
              </w:rPr>
            </w:pPr>
            <w:r w:rsidRPr="00A61CC8">
              <w:rPr>
                <w:sz w:val="20"/>
                <w:szCs w:val="20"/>
              </w:rPr>
              <w:t>See 3.8 Above</w:t>
            </w:r>
          </w:p>
        </w:tc>
      </w:tr>
      <w:tr w:rsidR="00F20CA3" w:rsidTr="00F20CA3">
        <w:trPr>
          <w:trHeight w:val="261"/>
        </w:trPr>
        <w:tc>
          <w:tcPr>
            <w:tcW w:w="397" w:type="dxa"/>
            <w:tcBorders>
              <w:top w:val="single" w:sz="8" w:space="0" w:color="C0504D"/>
              <w:left w:val="single" w:sz="8" w:space="0" w:color="C0504D"/>
              <w:bottom w:val="single" w:sz="8" w:space="0" w:color="C0504D"/>
              <w:right w:val="single" w:sz="12" w:space="0" w:color="C00000"/>
            </w:tcBorders>
          </w:tcPr>
          <w:p w:rsidR="00F20CA3" w:rsidRDefault="00F20CA3" w:rsidP="00F20CA3">
            <w:pPr>
              <w:numPr>
                <w:ilvl w:val="0"/>
                <w:numId w:val="7"/>
              </w:numPr>
              <w:ind w:left="318" w:hanging="284"/>
              <w:rPr>
                <w:rFonts w:ascii="Humnst777 Lt BT" w:hAnsi="Humnst777 Lt BT"/>
                <w:sz w:val="20"/>
                <w:szCs w:val="20"/>
              </w:rPr>
            </w:pPr>
          </w:p>
        </w:tc>
        <w:tc>
          <w:tcPr>
            <w:tcW w:w="2802" w:type="dxa"/>
            <w:gridSpan w:val="3"/>
            <w:tcBorders>
              <w:top w:val="single" w:sz="8" w:space="0" w:color="C0504D"/>
              <w:left w:val="nil"/>
              <w:bottom w:val="single" w:sz="8" w:space="0" w:color="C0504D"/>
              <w:right w:val="single" w:sz="12" w:space="0" w:color="C00000"/>
            </w:tcBorders>
            <w:hideMark/>
          </w:tcPr>
          <w:p w:rsidR="00F20CA3" w:rsidRDefault="00F20CA3" w:rsidP="00F20CA3">
            <w:pPr>
              <w:numPr>
                <w:ilvl w:val="0"/>
                <w:numId w:val="7"/>
              </w:numPr>
              <w:ind w:left="318" w:hanging="284"/>
              <w:rPr>
                <w:rFonts w:ascii="Humnst777 Lt BT" w:hAnsi="Humnst777 Lt BT"/>
                <w:sz w:val="20"/>
                <w:szCs w:val="20"/>
              </w:rPr>
            </w:pPr>
            <w:r>
              <w:rPr>
                <w:sz w:val="20"/>
                <w:szCs w:val="20"/>
              </w:rPr>
              <w:t>Impact on Governance, Risk, and Control</w:t>
            </w:r>
          </w:p>
        </w:tc>
        <w:tc>
          <w:tcPr>
            <w:tcW w:w="708" w:type="dxa"/>
            <w:tcBorders>
              <w:top w:val="single" w:sz="8" w:space="0" w:color="C0504D"/>
              <w:left w:val="single" w:sz="12" w:space="0" w:color="C00000"/>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gridSpan w:val="2"/>
            <w:tcBorders>
              <w:top w:val="single" w:sz="8" w:space="0" w:color="C0504D"/>
              <w:left w:val="single" w:sz="8" w:space="0" w:color="C0504D"/>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709" w:type="dxa"/>
            <w:gridSpan w:val="2"/>
            <w:tcBorders>
              <w:top w:val="single" w:sz="8" w:space="0" w:color="C0504D"/>
              <w:left w:val="single" w:sz="8" w:space="0" w:color="C0504D"/>
              <w:bottom w:val="single" w:sz="8" w:space="0" w:color="C0504D"/>
              <w:right w:val="single" w:sz="8" w:space="0" w:color="C0504D"/>
            </w:tcBorders>
          </w:tcPr>
          <w:p w:rsidR="00F20CA3" w:rsidRDefault="00A61CC8">
            <w:pPr>
              <w:ind w:left="34"/>
              <w:rPr>
                <w:rFonts w:ascii="Humnst777 Lt BT" w:hAnsi="Humnst777 Lt BT"/>
                <w:sz w:val="20"/>
                <w:szCs w:val="20"/>
              </w:rPr>
            </w:pPr>
            <w:r>
              <w:rPr>
                <w:rFonts w:ascii="Humnst777 Lt BT" w:hAnsi="Humnst777 Lt BT"/>
                <w:sz w:val="20"/>
                <w:szCs w:val="20"/>
              </w:rPr>
              <w:t>X</w:t>
            </w:r>
          </w:p>
        </w:tc>
        <w:tc>
          <w:tcPr>
            <w:tcW w:w="709" w:type="dxa"/>
            <w:tcBorders>
              <w:top w:val="single" w:sz="8" w:space="0" w:color="C0504D"/>
              <w:left w:val="single" w:sz="8" w:space="0" w:color="C0504D"/>
              <w:bottom w:val="single" w:sz="8" w:space="0" w:color="C0504D"/>
              <w:right w:val="single" w:sz="8" w:space="0" w:color="C0504D"/>
            </w:tcBorders>
          </w:tcPr>
          <w:p w:rsidR="00F20CA3" w:rsidRDefault="00F20CA3">
            <w:pPr>
              <w:ind w:left="34"/>
              <w:rPr>
                <w:rFonts w:ascii="Humnst777 Lt BT" w:hAnsi="Humnst777 Lt BT"/>
                <w:sz w:val="20"/>
                <w:szCs w:val="20"/>
              </w:rPr>
            </w:pPr>
          </w:p>
        </w:tc>
        <w:tc>
          <w:tcPr>
            <w:tcW w:w="3685" w:type="dxa"/>
            <w:gridSpan w:val="4"/>
            <w:tcBorders>
              <w:top w:val="single" w:sz="8" w:space="0" w:color="C0504D"/>
              <w:left w:val="single" w:sz="8" w:space="0" w:color="C0504D"/>
              <w:bottom w:val="single" w:sz="8" w:space="0" w:color="C0504D"/>
              <w:right w:val="single" w:sz="8" w:space="0" w:color="C0504D"/>
            </w:tcBorders>
          </w:tcPr>
          <w:p w:rsidR="00F20CA3" w:rsidRPr="00A61CC8" w:rsidRDefault="00A61CC8">
            <w:pPr>
              <w:ind w:left="34"/>
              <w:rPr>
                <w:sz w:val="20"/>
                <w:szCs w:val="20"/>
              </w:rPr>
            </w:pPr>
            <w:r w:rsidRPr="00A61CC8">
              <w:rPr>
                <w:sz w:val="20"/>
                <w:szCs w:val="20"/>
              </w:rPr>
              <w:t>See 3.8 Above</w:t>
            </w:r>
          </w:p>
        </w:tc>
      </w:tr>
      <w:tr w:rsidR="00F20CA3" w:rsidTr="00F20CA3">
        <w:trPr>
          <w:trHeight w:val="261"/>
        </w:trPr>
        <w:tc>
          <w:tcPr>
            <w:tcW w:w="1951" w:type="dxa"/>
            <w:gridSpan w:val="2"/>
            <w:tcBorders>
              <w:top w:val="single" w:sz="8" w:space="0" w:color="C0504D"/>
              <w:left w:val="single" w:sz="8" w:space="0" w:color="C0504D"/>
              <w:bottom w:val="single" w:sz="8" w:space="0" w:color="C0504D"/>
              <w:right w:val="single" w:sz="12" w:space="0" w:color="C0504D"/>
            </w:tcBorders>
            <w:shd w:val="clear" w:color="auto" w:fill="F9E5E7"/>
            <w:hideMark/>
          </w:tcPr>
          <w:p w:rsidR="00F20CA3" w:rsidRDefault="00F20CA3">
            <w:pPr>
              <w:ind w:left="34"/>
              <w:rPr>
                <w:rFonts w:ascii="Humnst777 Lt BT" w:hAnsi="Humnst777 Lt BT"/>
                <w:sz w:val="20"/>
                <w:szCs w:val="20"/>
              </w:rPr>
            </w:pPr>
            <w:r>
              <w:rPr>
                <w:sz w:val="20"/>
                <w:szCs w:val="20"/>
              </w:rPr>
              <w:t>Does not conform</w:t>
            </w:r>
          </w:p>
        </w:tc>
        <w:tc>
          <w:tcPr>
            <w:tcW w:w="397" w:type="dxa"/>
            <w:tcBorders>
              <w:top w:val="single" w:sz="12" w:space="0" w:color="C0504D"/>
              <w:left w:val="single" w:sz="12" w:space="0" w:color="C0504D"/>
              <w:bottom w:val="single" w:sz="12" w:space="0" w:color="C0504D"/>
              <w:right w:val="single" w:sz="12" w:space="0" w:color="C0504D"/>
            </w:tcBorders>
          </w:tcPr>
          <w:p w:rsidR="00F20CA3" w:rsidRDefault="00F20CA3">
            <w:pPr>
              <w:ind w:left="34"/>
              <w:rPr>
                <w:rFonts w:ascii="Humnst777 Lt BT" w:hAnsi="Humnst777 Lt BT"/>
                <w:sz w:val="20"/>
                <w:szCs w:val="20"/>
              </w:rPr>
            </w:pPr>
          </w:p>
        </w:tc>
        <w:tc>
          <w:tcPr>
            <w:tcW w:w="1871" w:type="dxa"/>
            <w:gridSpan w:val="3"/>
            <w:tcBorders>
              <w:top w:val="single" w:sz="8" w:space="0" w:color="C0504D"/>
              <w:left w:val="single" w:sz="12" w:space="0" w:color="C0504D"/>
              <w:bottom w:val="single" w:sz="8" w:space="0" w:color="C0504D"/>
              <w:right w:val="single" w:sz="12" w:space="0" w:color="C0504D"/>
            </w:tcBorders>
            <w:shd w:val="clear" w:color="auto" w:fill="FDE9D9" w:themeFill="accent6" w:themeFillTint="33"/>
            <w:hideMark/>
          </w:tcPr>
          <w:p w:rsidR="00F20CA3" w:rsidRDefault="00F20CA3">
            <w:pPr>
              <w:ind w:left="34"/>
              <w:rPr>
                <w:rFonts w:ascii="Humnst777 Lt BT" w:hAnsi="Humnst777 Lt BT"/>
                <w:sz w:val="20"/>
                <w:szCs w:val="20"/>
              </w:rPr>
            </w:pPr>
            <w:r>
              <w:rPr>
                <w:sz w:val="20"/>
                <w:szCs w:val="20"/>
              </w:rPr>
              <w:t>Partly Conforms</w:t>
            </w:r>
          </w:p>
        </w:tc>
        <w:tc>
          <w:tcPr>
            <w:tcW w:w="425" w:type="dxa"/>
            <w:gridSpan w:val="2"/>
            <w:tcBorders>
              <w:top w:val="single" w:sz="12" w:space="0" w:color="C0504D"/>
              <w:left w:val="single" w:sz="12" w:space="0" w:color="C0504D"/>
              <w:bottom w:val="single" w:sz="12" w:space="0" w:color="C0504D"/>
              <w:right w:val="single" w:sz="12" w:space="0" w:color="C0504D"/>
            </w:tcBorders>
          </w:tcPr>
          <w:p w:rsidR="00F20CA3" w:rsidRDefault="00F20CA3">
            <w:pPr>
              <w:ind w:left="34"/>
              <w:rPr>
                <w:rFonts w:ascii="Humnst777 Lt BT" w:hAnsi="Humnst777 Lt BT"/>
                <w:sz w:val="20"/>
                <w:szCs w:val="20"/>
              </w:rPr>
            </w:pPr>
          </w:p>
        </w:tc>
        <w:tc>
          <w:tcPr>
            <w:tcW w:w="1985" w:type="dxa"/>
            <w:gridSpan w:val="3"/>
            <w:tcBorders>
              <w:top w:val="single" w:sz="8" w:space="0" w:color="C0504D"/>
              <w:left w:val="single" w:sz="12" w:space="0" w:color="C0504D"/>
              <w:bottom w:val="single" w:sz="8" w:space="0" w:color="C0504D"/>
              <w:right w:val="single" w:sz="12" w:space="0" w:color="C0504D"/>
            </w:tcBorders>
            <w:shd w:val="clear" w:color="auto" w:fill="F9E5E7"/>
            <w:hideMark/>
          </w:tcPr>
          <w:p w:rsidR="00F20CA3" w:rsidRDefault="00F20CA3">
            <w:pPr>
              <w:ind w:left="34"/>
              <w:rPr>
                <w:rFonts w:ascii="Humnst777 Lt BT" w:hAnsi="Humnst777 Lt BT"/>
                <w:sz w:val="20"/>
                <w:szCs w:val="20"/>
              </w:rPr>
            </w:pPr>
            <w:r>
              <w:rPr>
                <w:sz w:val="20"/>
                <w:szCs w:val="20"/>
              </w:rPr>
              <w:t>Generally conforms</w:t>
            </w:r>
          </w:p>
        </w:tc>
        <w:tc>
          <w:tcPr>
            <w:tcW w:w="425" w:type="dxa"/>
            <w:tcBorders>
              <w:top w:val="single" w:sz="12" w:space="0" w:color="C0504D"/>
              <w:left w:val="single" w:sz="12" w:space="0" w:color="C0504D"/>
              <w:bottom w:val="single" w:sz="12" w:space="0" w:color="C0504D"/>
              <w:right w:val="single" w:sz="12" w:space="0" w:color="C0504D"/>
            </w:tcBorders>
          </w:tcPr>
          <w:p w:rsidR="00F20CA3" w:rsidRDefault="00E66188">
            <w:pPr>
              <w:ind w:left="34"/>
              <w:rPr>
                <w:rFonts w:ascii="Humnst777 Lt BT" w:hAnsi="Humnst777 Lt BT"/>
                <w:sz w:val="20"/>
                <w:szCs w:val="20"/>
              </w:rPr>
            </w:pPr>
            <w:r>
              <w:rPr>
                <w:rFonts w:ascii="Humnst777 Lt BT" w:hAnsi="Humnst777 Lt BT"/>
                <w:sz w:val="20"/>
                <w:szCs w:val="20"/>
              </w:rPr>
              <w:t>X</w:t>
            </w:r>
          </w:p>
        </w:tc>
        <w:tc>
          <w:tcPr>
            <w:tcW w:w="2268" w:type="dxa"/>
            <w:tcBorders>
              <w:top w:val="single" w:sz="8" w:space="0" w:color="C0504D"/>
              <w:left w:val="single" w:sz="12" w:space="0" w:color="C0504D"/>
              <w:bottom w:val="single" w:sz="8" w:space="0" w:color="C0504D"/>
              <w:right w:val="single" w:sz="12" w:space="0" w:color="C0504D"/>
            </w:tcBorders>
            <w:shd w:val="clear" w:color="auto" w:fill="F9E5E7"/>
            <w:hideMark/>
          </w:tcPr>
          <w:p w:rsidR="00F20CA3" w:rsidRDefault="00F20CA3">
            <w:pPr>
              <w:ind w:left="34"/>
              <w:rPr>
                <w:rFonts w:ascii="Humnst777 Lt BT" w:hAnsi="Humnst777 Lt BT"/>
                <w:sz w:val="20"/>
                <w:szCs w:val="20"/>
              </w:rPr>
            </w:pPr>
            <w:r>
              <w:rPr>
                <w:sz w:val="20"/>
                <w:szCs w:val="20"/>
              </w:rPr>
              <w:t>Fully conforms</w:t>
            </w:r>
          </w:p>
        </w:tc>
        <w:tc>
          <w:tcPr>
            <w:tcW w:w="397" w:type="dxa"/>
            <w:tcBorders>
              <w:top w:val="single" w:sz="12" w:space="0" w:color="C0504D"/>
              <w:left w:val="single" w:sz="12" w:space="0" w:color="C0504D"/>
              <w:bottom w:val="single" w:sz="12" w:space="0" w:color="C0504D"/>
              <w:right w:val="single" w:sz="12" w:space="0" w:color="C0504D"/>
            </w:tcBorders>
          </w:tcPr>
          <w:p w:rsidR="00F20CA3" w:rsidRDefault="00F20CA3">
            <w:pPr>
              <w:ind w:left="34"/>
              <w:rPr>
                <w:rFonts w:ascii="Humnst777 Lt BT" w:hAnsi="Humnst777 Lt BT"/>
                <w:sz w:val="20"/>
                <w:szCs w:val="20"/>
              </w:rPr>
            </w:pPr>
          </w:p>
        </w:tc>
      </w:tr>
    </w:tbl>
    <w:p w:rsidR="00F20CA3" w:rsidRDefault="00F20CA3" w:rsidP="00F20CA3">
      <w:pPr>
        <w:pStyle w:val="AnnexBodyText"/>
        <w:numPr>
          <w:ilvl w:val="0"/>
          <w:numId w:val="0"/>
        </w:numPr>
        <w:tabs>
          <w:tab w:val="left" w:pos="720"/>
        </w:tabs>
      </w:pPr>
    </w:p>
    <w:p w:rsidR="00BA089C" w:rsidRPr="00917DCA" w:rsidRDefault="00BA089C" w:rsidP="00536727">
      <w:pPr>
        <w:rPr>
          <w:rFonts w:ascii="Arial" w:hAnsi="Arial" w:cs="Arial"/>
        </w:rPr>
      </w:pPr>
    </w:p>
    <w:sectPr w:rsidR="00BA089C" w:rsidRPr="00917DCA" w:rsidSect="00F20CA3">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pgBorders w:offsetFrom="page">
        <w:top w:val="single" w:sz="8" w:space="24" w:color="C0504D"/>
        <w:left w:val="single" w:sz="8" w:space="24" w:color="C0504D"/>
        <w:bottom w:val="single" w:sz="8" w:space="24" w:color="C0504D"/>
        <w:right w:val="single" w:sz="8" w:space="24" w:color="C0504D"/>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81" w:rsidRDefault="009B0681" w:rsidP="00536727">
      <w:r>
        <w:separator/>
      </w:r>
    </w:p>
  </w:endnote>
  <w:endnote w:type="continuationSeparator" w:id="0">
    <w:p w:rsidR="009B0681" w:rsidRDefault="009B0681" w:rsidP="0053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altName w:val="Lucida Sans Unicode"/>
    <w:charset w:val="00"/>
    <w:family w:val="swiss"/>
    <w:pitch w:val="variable"/>
    <w:sig w:usb0="00000001" w:usb1="1000204A" w:usb2="00000000" w:usb3="00000000" w:csb0="00000011" w:csb1="00000000"/>
  </w:font>
  <w:font w:name="Humnst777 BT">
    <w:altName w:val="Lucida Sans Unicode"/>
    <w:charset w:val="00"/>
    <w:family w:val="swiss"/>
    <w:pitch w:val="variable"/>
    <w:sig w:usb0="00000001" w:usb1="1000204A" w:usb2="00000000" w:usb3="00000000" w:csb0="0000001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Humnst777 Cn BT">
    <w:altName w:val="Arial Narrow"/>
    <w:charset w:val="00"/>
    <w:family w:val="swiss"/>
    <w:pitch w:val="variable"/>
    <w:sig w:usb0="00000001" w:usb1="1000204A" w:usb2="00000000" w:usb3="00000000" w:csb0="00000011" w:csb1="00000000"/>
  </w:font>
  <w:font w:name="Humnst777 BlkCn BT">
    <w:altName w:val="Lucida Sans Unicode"/>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B3D" w:rsidRDefault="007D7B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15684"/>
      <w:docPartObj>
        <w:docPartGallery w:val="Page Numbers (Bottom of Page)"/>
        <w:docPartUnique/>
      </w:docPartObj>
    </w:sdtPr>
    <w:sdtEndPr>
      <w:rPr>
        <w:noProof/>
      </w:rPr>
    </w:sdtEndPr>
    <w:sdtContent>
      <w:p w:rsidR="00B178AE" w:rsidRDefault="00B178AE">
        <w:pPr>
          <w:pStyle w:val="Footer"/>
          <w:jc w:val="center"/>
        </w:pPr>
        <w:r>
          <w:fldChar w:fldCharType="begin"/>
        </w:r>
        <w:r>
          <w:instrText xml:space="preserve"> PAGE   \* MERGEFORMAT </w:instrText>
        </w:r>
        <w:r>
          <w:fldChar w:fldCharType="separate"/>
        </w:r>
        <w:r w:rsidR="00C64CF9">
          <w:rPr>
            <w:noProof/>
          </w:rPr>
          <w:t>0</w:t>
        </w:r>
        <w:r>
          <w:rPr>
            <w:noProof/>
          </w:rPr>
          <w:fldChar w:fldCharType="end"/>
        </w:r>
      </w:p>
    </w:sdtContent>
  </w:sdt>
  <w:p w:rsidR="00B178AE" w:rsidRDefault="00B178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B3D" w:rsidRDefault="007D7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81" w:rsidRDefault="009B0681" w:rsidP="00536727">
      <w:r>
        <w:separator/>
      </w:r>
    </w:p>
  </w:footnote>
  <w:footnote w:type="continuationSeparator" w:id="0">
    <w:p w:rsidR="009B0681" w:rsidRDefault="009B0681" w:rsidP="00536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B3D" w:rsidRDefault="007D7B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B3D" w:rsidRDefault="007D7B3D" w:rsidP="007D7B3D">
    <w:pPr>
      <w:pStyle w:val="Header"/>
      <w:jc w:val="right"/>
    </w:pPr>
    <w:r>
      <w:t>Appendix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B3D" w:rsidRDefault="007D7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859"/>
    <w:multiLevelType w:val="multilevel"/>
    <w:tmpl w:val="FAF897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78A7B99"/>
    <w:multiLevelType w:val="hybridMultilevel"/>
    <w:tmpl w:val="BD7278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DDB3D21"/>
    <w:multiLevelType w:val="hybridMultilevel"/>
    <w:tmpl w:val="B60468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B081C5D"/>
    <w:multiLevelType w:val="multilevel"/>
    <w:tmpl w:val="CAAA8F12"/>
    <w:lvl w:ilvl="0">
      <w:start w:val="1"/>
      <w:numFmt w:val="bullet"/>
      <w:lvlText w:val=""/>
      <w:lvlJc w:val="left"/>
      <w:pPr>
        <w:tabs>
          <w:tab w:val="num" w:pos="1191"/>
        </w:tabs>
        <w:ind w:left="1191" w:hanging="454"/>
      </w:pPr>
      <w:rPr>
        <w:rFonts w:ascii="Symbol" w:hAnsi="Symbol" w:hint="default"/>
        <w:color w:val="auto"/>
        <w:sz w:val="16"/>
      </w:rPr>
    </w:lvl>
    <w:lvl w:ilvl="1">
      <w:start w:val="1"/>
      <w:numFmt w:val="bullet"/>
      <w:lvlText w:val=""/>
      <w:lvlJc w:val="left"/>
      <w:pPr>
        <w:tabs>
          <w:tab w:val="num" w:pos="1644"/>
        </w:tabs>
        <w:ind w:left="1644" w:hanging="453"/>
      </w:pPr>
      <w:rPr>
        <w:rFonts w:ascii="Symbol" w:hAnsi="Symbol" w:hint="default"/>
        <w:color w:val="auto"/>
        <w:sz w:val="16"/>
      </w:rPr>
    </w:lvl>
    <w:lvl w:ilvl="2">
      <w:start w:val="1"/>
      <w:numFmt w:val="bullet"/>
      <w:lvlText w:val=""/>
      <w:lvlJc w:val="left"/>
      <w:pPr>
        <w:tabs>
          <w:tab w:val="num" w:pos="2098"/>
        </w:tabs>
        <w:ind w:left="2098" w:hanging="454"/>
      </w:pPr>
      <w:rPr>
        <w:rFonts w:ascii="Symbol" w:hAnsi="Symbol" w:hint="default"/>
        <w:color w:val="auto"/>
        <w:sz w:val="16"/>
      </w:rPr>
    </w:lvl>
    <w:lvl w:ilvl="3">
      <w:start w:val="1"/>
      <w:numFmt w:val="decimal"/>
      <w:lvlText w:val="(%4)"/>
      <w:lvlJc w:val="left"/>
      <w:pPr>
        <w:tabs>
          <w:tab w:val="num" w:pos="2177"/>
        </w:tabs>
        <w:ind w:left="2177" w:hanging="360"/>
      </w:pPr>
      <w:rPr>
        <w:rFonts w:cs="Times New Roman"/>
      </w:rPr>
    </w:lvl>
    <w:lvl w:ilvl="4">
      <w:start w:val="1"/>
      <w:numFmt w:val="lowerLetter"/>
      <w:lvlText w:val="(%5)"/>
      <w:lvlJc w:val="left"/>
      <w:pPr>
        <w:tabs>
          <w:tab w:val="num" w:pos="2537"/>
        </w:tabs>
        <w:ind w:left="2537" w:hanging="360"/>
      </w:pPr>
      <w:rPr>
        <w:rFonts w:cs="Times New Roman"/>
      </w:rPr>
    </w:lvl>
    <w:lvl w:ilvl="5">
      <w:start w:val="1"/>
      <w:numFmt w:val="lowerRoman"/>
      <w:lvlText w:val="(%6)"/>
      <w:lvlJc w:val="left"/>
      <w:pPr>
        <w:tabs>
          <w:tab w:val="num" w:pos="2897"/>
        </w:tabs>
        <w:ind w:left="2897" w:hanging="360"/>
      </w:pPr>
      <w:rPr>
        <w:rFonts w:cs="Times New Roman"/>
      </w:rPr>
    </w:lvl>
    <w:lvl w:ilvl="6">
      <w:start w:val="1"/>
      <w:numFmt w:val="decimal"/>
      <w:lvlText w:val="%7."/>
      <w:lvlJc w:val="left"/>
      <w:pPr>
        <w:tabs>
          <w:tab w:val="num" w:pos="3257"/>
        </w:tabs>
        <w:ind w:left="3257" w:hanging="360"/>
      </w:pPr>
      <w:rPr>
        <w:rFonts w:cs="Times New Roman"/>
      </w:rPr>
    </w:lvl>
    <w:lvl w:ilvl="7">
      <w:start w:val="1"/>
      <w:numFmt w:val="lowerLetter"/>
      <w:lvlText w:val="%8."/>
      <w:lvlJc w:val="left"/>
      <w:pPr>
        <w:tabs>
          <w:tab w:val="num" w:pos="3617"/>
        </w:tabs>
        <w:ind w:left="3617" w:hanging="360"/>
      </w:pPr>
      <w:rPr>
        <w:rFonts w:cs="Times New Roman"/>
      </w:rPr>
    </w:lvl>
    <w:lvl w:ilvl="8">
      <w:start w:val="1"/>
      <w:numFmt w:val="lowerRoman"/>
      <w:lvlText w:val="%9."/>
      <w:lvlJc w:val="left"/>
      <w:pPr>
        <w:tabs>
          <w:tab w:val="num" w:pos="3977"/>
        </w:tabs>
        <w:ind w:left="3977" w:hanging="360"/>
      </w:pPr>
      <w:rPr>
        <w:rFonts w:cs="Times New Roman"/>
      </w:rPr>
    </w:lvl>
  </w:abstractNum>
  <w:abstractNum w:abstractNumId="4">
    <w:nsid w:val="350C4E28"/>
    <w:multiLevelType w:val="multilevel"/>
    <w:tmpl w:val="A48E4B52"/>
    <w:name w:val="AnnexNum"/>
    <w:lvl w:ilvl="0">
      <w:start w:val="1"/>
      <w:numFmt w:val="upperLetter"/>
      <w:pStyle w:val="AnnexBodyText"/>
      <w:suff w:val="nothing"/>
      <w:lvlText w:val="%1"/>
      <w:lvlJc w:val="left"/>
      <w:pPr>
        <w:ind w:left="360" w:hanging="360"/>
      </w:pPr>
      <w:rPr>
        <w:rFonts w:cs="Times New Roman"/>
      </w:rPr>
    </w:lvl>
    <w:lvl w:ilvl="1">
      <w:start w:val="1"/>
      <w:numFmt w:val="decimal"/>
      <w:pStyle w:val="AnnexBodyText"/>
      <w:suff w:val="space"/>
      <w:lvlText w:val="%1.%2"/>
      <w:lvlJc w:val="left"/>
      <w:pPr>
        <w:ind w:left="0" w:firstLine="0"/>
      </w:pPr>
      <w:rPr>
        <w:rFonts w:ascii="Humnst777 Lt BT" w:hAnsi="Humnst777 Lt BT" w:cs="Times New Roman" w:hint="default"/>
        <w:b/>
        <w:i w:val="0"/>
        <w:color w:val="C40012"/>
        <w:sz w:val="22"/>
      </w:rPr>
    </w:lvl>
    <w:lvl w:ilvl="2">
      <w:start w:val="1"/>
      <w:numFmt w:val="decimal"/>
      <w:pStyle w:val="AnnexBodyText2"/>
      <w:suff w:val="space"/>
      <w:lvlText w:val="%1.%2.%3"/>
      <w:lvlJc w:val="left"/>
      <w:pPr>
        <w:ind w:left="0" w:firstLine="0"/>
      </w:pPr>
      <w:rPr>
        <w:rFonts w:ascii="Humnst777 Lt BT" w:hAnsi="Humnst777 Lt BT" w:cs="Times New Roman" w:hint="default"/>
        <w:b/>
        <w:i w:val="0"/>
        <w:color w:val="C40012"/>
        <w:sz w:val="22"/>
      </w:rPr>
    </w:lvl>
    <w:lvl w:ilvl="3">
      <w:start w:val="1"/>
      <w:numFmt w:val="decimal"/>
      <w:lvlRestart w:val="0"/>
      <w:suff w:val="space"/>
      <w:lvlText w:val="Box %1.%4:"/>
      <w:lvlJc w:val="left"/>
      <w:pPr>
        <w:ind w:left="0" w:firstLine="0"/>
      </w:pPr>
      <w:rPr>
        <w:rFonts w:ascii="Humnst777 BT" w:hAnsi="Humnst777 BT" w:cs="Times New Roman" w:hint="default"/>
        <w:b/>
        <w:color w:val="C40012"/>
        <w:sz w:val="20"/>
      </w:rPr>
    </w:lvl>
    <w:lvl w:ilvl="4">
      <w:start w:val="1"/>
      <w:numFmt w:val="decimal"/>
      <w:lvlRestart w:val="0"/>
      <w:suff w:val="space"/>
      <w:lvlText w:val="Figure %1.%5:"/>
      <w:lvlJc w:val="left"/>
      <w:pPr>
        <w:ind w:left="0" w:firstLine="0"/>
      </w:pPr>
      <w:rPr>
        <w:rFonts w:ascii="Humnst777 BT" w:hAnsi="Humnst777 BT" w:cs="Times New Roman" w:hint="default"/>
        <w:b/>
        <w:color w:val="C40012"/>
        <w:sz w:val="20"/>
      </w:rPr>
    </w:lvl>
    <w:lvl w:ilvl="5">
      <w:start w:val="1"/>
      <w:numFmt w:val="decimal"/>
      <w:lvlRestart w:val="0"/>
      <w:suff w:val="space"/>
      <w:lvlText w:val="Table %1.%6:"/>
      <w:lvlJc w:val="left"/>
      <w:pPr>
        <w:tabs>
          <w:tab w:val="num" w:pos="2160"/>
        </w:tabs>
        <w:ind w:left="0" w:firstLine="0"/>
      </w:pPr>
      <w:rPr>
        <w:rFonts w:ascii="Humnst777 BT" w:hAnsi="Humnst777 BT" w:cs="Times New Roman" w:hint="default"/>
        <w:b/>
        <w:color w:val="C40012"/>
        <w:sz w:val="20"/>
      </w:rPr>
    </w:lvl>
    <w:lvl w:ilvl="6">
      <w:start w:val="1"/>
      <w:numFmt w:val="decimal"/>
      <w:lvlRestart w:val="0"/>
      <w:suff w:val="space"/>
      <w:lvlText w:val="Chart %1.%7:"/>
      <w:lvlJc w:val="left"/>
      <w:pPr>
        <w:tabs>
          <w:tab w:val="num" w:pos="2520"/>
        </w:tabs>
        <w:ind w:left="0" w:firstLine="0"/>
      </w:pPr>
      <w:rPr>
        <w:rFonts w:ascii="Humnst777 BT" w:hAnsi="Humnst777 BT" w:cs="Times New Roman" w:hint="default"/>
        <w:b/>
        <w:color w:val="C40012"/>
        <w:sz w:val="2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46283C82"/>
    <w:multiLevelType w:val="hybridMultilevel"/>
    <w:tmpl w:val="2D20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CC029B"/>
    <w:multiLevelType w:val="hybridMultilevel"/>
    <w:tmpl w:val="26CCDAD6"/>
    <w:lvl w:ilvl="0" w:tplc="F844DBE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690D5460"/>
    <w:multiLevelType w:val="hybridMultilevel"/>
    <w:tmpl w:val="3B8CF4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14E10B4"/>
    <w:multiLevelType w:val="hybridMultilevel"/>
    <w:tmpl w:val="28605684"/>
    <w:lvl w:ilvl="0" w:tplc="4F62EFD8">
      <w:start w:val="1"/>
      <w:numFmt w:val="bullet"/>
      <w:lvlText w:val=""/>
      <w:lvlJc w:val="left"/>
      <w:pPr>
        <w:ind w:left="720" w:hanging="360"/>
      </w:pPr>
      <w:rPr>
        <w:rFonts w:ascii="Wingdings" w:hAnsi="Wingdings" w:hint="default"/>
        <w:color w:val="4F81BD"/>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EE"/>
    <w:rsid w:val="000028EF"/>
    <w:rsid w:val="000152CA"/>
    <w:rsid w:val="000509BB"/>
    <w:rsid w:val="00052F29"/>
    <w:rsid w:val="00057355"/>
    <w:rsid w:val="000A6A0C"/>
    <w:rsid w:val="000C6292"/>
    <w:rsid w:val="000D6D1F"/>
    <w:rsid w:val="00123428"/>
    <w:rsid w:val="00187371"/>
    <w:rsid w:val="0020642B"/>
    <w:rsid w:val="00211B26"/>
    <w:rsid w:val="00231A39"/>
    <w:rsid w:val="00277BCF"/>
    <w:rsid w:val="002A3669"/>
    <w:rsid w:val="002D60F2"/>
    <w:rsid w:val="002E5919"/>
    <w:rsid w:val="0031155C"/>
    <w:rsid w:val="00332D51"/>
    <w:rsid w:val="0036189C"/>
    <w:rsid w:val="003C21A1"/>
    <w:rsid w:val="003C342C"/>
    <w:rsid w:val="003C44E3"/>
    <w:rsid w:val="00454249"/>
    <w:rsid w:val="00472C73"/>
    <w:rsid w:val="00476686"/>
    <w:rsid w:val="0049091B"/>
    <w:rsid w:val="004A4923"/>
    <w:rsid w:val="004A74A2"/>
    <w:rsid w:val="004A7DC2"/>
    <w:rsid w:val="004F3FB3"/>
    <w:rsid w:val="00536727"/>
    <w:rsid w:val="00565F8D"/>
    <w:rsid w:val="0057787E"/>
    <w:rsid w:val="00595709"/>
    <w:rsid w:val="005B1523"/>
    <w:rsid w:val="005C496B"/>
    <w:rsid w:val="005D4B2A"/>
    <w:rsid w:val="005D5C99"/>
    <w:rsid w:val="0060577A"/>
    <w:rsid w:val="00650B00"/>
    <w:rsid w:val="006526ED"/>
    <w:rsid w:val="0068368A"/>
    <w:rsid w:val="00692910"/>
    <w:rsid w:val="006C5FB7"/>
    <w:rsid w:val="00710096"/>
    <w:rsid w:val="007555F5"/>
    <w:rsid w:val="00785167"/>
    <w:rsid w:val="007A41E2"/>
    <w:rsid w:val="007B09FD"/>
    <w:rsid w:val="007B2B58"/>
    <w:rsid w:val="007C1742"/>
    <w:rsid w:val="007D712D"/>
    <w:rsid w:val="007D7B3D"/>
    <w:rsid w:val="00800D0C"/>
    <w:rsid w:val="00863DB2"/>
    <w:rsid w:val="00866BE3"/>
    <w:rsid w:val="008E0213"/>
    <w:rsid w:val="008E2F0A"/>
    <w:rsid w:val="009001F9"/>
    <w:rsid w:val="00917DCA"/>
    <w:rsid w:val="00924219"/>
    <w:rsid w:val="00935B7D"/>
    <w:rsid w:val="00962050"/>
    <w:rsid w:val="00993DBE"/>
    <w:rsid w:val="009B0681"/>
    <w:rsid w:val="009C2E8E"/>
    <w:rsid w:val="009F40EE"/>
    <w:rsid w:val="00A46F85"/>
    <w:rsid w:val="00A61CC8"/>
    <w:rsid w:val="00A66A6F"/>
    <w:rsid w:val="00A73C6F"/>
    <w:rsid w:val="00A92332"/>
    <w:rsid w:val="00AA389B"/>
    <w:rsid w:val="00AA54F2"/>
    <w:rsid w:val="00AC1303"/>
    <w:rsid w:val="00AD7985"/>
    <w:rsid w:val="00B178AE"/>
    <w:rsid w:val="00B3436D"/>
    <w:rsid w:val="00B90D80"/>
    <w:rsid w:val="00BA089C"/>
    <w:rsid w:val="00BB3C42"/>
    <w:rsid w:val="00C0537C"/>
    <w:rsid w:val="00C27B49"/>
    <w:rsid w:val="00C64CF9"/>
    <w:rsid w:val="00D7477C"/>
    <w:rsid w:val="00D75CA4"/>
    <w:rsid w:val="00D94187"/>
    <w:rsid w:val="00DC2F6F"/>
    <w:rsid w:val="00DF1E3A"/>
    <w:rsid w:val="00E36254"/>
    <w:rsid w:val="00E36A26"/>
    <w:rsid w:val="00E424F6"/>
    <w:rsid w:val="00E65DE8"/>
    <w:rsid w:val="00E66188"/>
    <w:rsid w:val="00E96958"/>
    <w:rsid w:val="00EC4B4D"/>
    <w:rsid w:val="00F20CA3"/>
    <w:rsid w:val="00F45E08"/>
    <w:rsid w:val="00FB4C70"/>
    <w:rsid w:val="00FD31D4"/>
    <w:rsid w:val="00FE0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Normal"/>
    <w:uiPriority w:val="99"/>
    <w:rsid w:val="00536727"/>
    <w:pPr>
      <w:keepNext/>
      <w:keepLines/>
      <w:spacing w:before="200" w:after="200" w:line="276" w:lineRule="auto"/>
      <w:outlineLvl w:val="1"/>
    </w:pPr>
    <w:rPr>
      <w:rFonts w:ascii="Helvetica" w:eastAsia="Arial Unicode MS" w:hAnsi="Helvetica"/>
      <w:b/>
      <w:color w:val="4F81BD"/>
      <w:sz w:val="26"/>
      <w:u w:color="4F81BD"/>
    </w:rPr>
  </w:style>
  <w:style w:type="paragraph" w:styleId="FootnoteText">
    <w:name w:val="footnote text"/>
    <w:basedOn w:val="Normal"/>
    <w:link w:val="FootnoteTextChar"/>
    <w:uiPriority w:val="99"/>
    <w:rsid w:val="00536727"/>
    <w:pPr>
      <w:widowControl w:val="0"/>
      <w:suppressAutoHyphens/>
      <w:autoSpaceDE w:val="0"/>
      <w:autoSpaceDN w:val="0"/>
      <w:adjustRightInd w:val="0"/>
      <w:spacing w:line="288" w:lineRule="auto"/>
      <w:textAlignment w:val="center"/>
    </w:pPr>
    <w:rPr>
      <w:rFonts w:ascii="Verdana" w:hAnsi="Verdana"/>
      <w:color w:val="000000"/>
      <w:sz w:val="20"/>
      <w:szCs w:val="20"/>
      <w:lang w:val="x-none" w:eastAsia="x-none"/>
    </w:rPr>
  </w:style>
  <w:style w:type="character" w:customStyle="1" w:styleId="FootnoteTextChar">
    <w:name w:val="Footnote Text Char"/>
    <w:basedOn w:val="DefaultParagraphFont"/>
    <w:link w:val="FootnoteText"/>
    <w:uiPriority w:val="99"/>
    <w:rsid w:val="00536727"/>
    <w:rPr>
      <w:rFonts w:ascii="Verdana" w:hAnsi="Verdana"/>
      <w:color w:val="000000"/>
      <w:lang w:val="x-none" w:eastAsia="x-none"/>
    </w:rPr>
  </w:style>
  <w:style w:type="character" w:styleId="FootnoteReference">
    <w:name w:val="footnote reference"/>
    <w:uiPriority w:val="99"/>
    <w:rsid w:val="00536727"/>
    <w:rPr>
      <w:vertAlign w:val="superscript"/>
    </w:rPr>
  </w:style>
  <w:style w:type="paragraph" w:customStyle="1" w:styleId="Pa0">
    <w:name w:val="Pa0"/>
    <w:basedOn w:val="Normal"/>
    <w:next w:val="Normal"/>
    <w:uiPriority w:val="99"/>
    <w:rsid w:val="00536727"/>
    <w:pPr>
      <w:autoSpaceDE w:val="0"/>
      <w:autoSpaceDN w:val="0"/>
      <w:adjustRightInd w:val="0"/>
      <w:spacing w:line="191" w:lineRule="atLeast"/>
    </w:pPr>
    <w:rPr>
      <w:rFonts w:ascii="Verdana" w:hAnsi="Verdana"/>
    </w:rPr>
  </w:style>
  <w:style w:type="paragraph" w:customStyle="1" w:styleId="Pa6">
    <w:name w:val="Pa6"/>
    <w:basedOn w:val="Normal"/>
    <w:next w:val="Normal"/>
    <w:uiPriority w:val="99"/>
    <w:rsid w:val="00536727"/>
    <w:pPr>
      <w:autoSpaceDE w:val="0"/>
      <w:autoSpaceDN w:val="0"/>
      <w:adjustRightInd w:val="0"/>
      <w:spacing w:line="191" w:lineRule="atLeast"/>
    </w:pPr>
    <w:rPr>
      <w:rFonts w:ascii="Verdana" w:hAnsi="Verdana"/>
    </w:rPr>
  </w:style>
  <w:style w:type="paragraph" w:styleId="ListParagraph">
    <w:name w:val="List Paragraph"/>
    <w:basedOn w:val="Normal"/>
    <w:uiPriority w:val="99"/>
    <w:qFormat/>
    <w:rsid w:val="00AA389B"/>
    <w:pPr>
      <w:ind w:left="720"/>
      <w:contextualSpacing/>
    </w:pPr>
  </w:style>
  <w:style w:type="paragraph" w:styleId="Header">
    <w:name w:val="header"/>
    <w:basedOn w:val="Normal"/>
    <w:link w:val="HeaderChar"/>
    <w:rsid w:val="00924219"/>
    <w:pPr>
      <w:tabs>
        <w:tab w:val="center" w:pos="4513"/>
        <w:tab w:val="right" w:pos="9026"/>
      </w:tabs>
    </w:pPr>
  </w:style>
  <w:style w:type="character" w:customStyle="1" w:styleId="HeaderChar">
    <w:name w:val="Header Char"/>
    <w:basedOn w:val="DefaultParagraphFont"/>
    <w:link w:val="Header"/>
    <w:rsid w:val="00924219"/>
    <w:rPr>
      <w:sz w:val="24"/>
      <w:szCs w:val="24"/>
    </w:rPr>
  </w:style>
  <w:style w:type="paragraph" w:styleId="Footer">
    <w:name w:val="footer"/>
    <w:basedOn w:val="Normal"/>
    <w:link w:val="FooterChar"/>
    <w:uiPriority w:val="99"/>
    <w:rsid w:val="00924219"/>
    <w:pPr>
      <w:tabs>
        <w:tab w:val="center" w:pos="4513"/>
        <w:tab w:val="right" w:pos="9026"/>
      </w:tabs>
    </w:pPr>
  </w:style>
  <w:style w:type="character" w:customStyle="1" w:styleId="FooterChar">
    <w:name w:val="Footer Char"/>
    <w:basedOn w:val="DefaultParagraphFont"/>
    <w:link w:val="Footer"/>
    <w:uiPriority w:val="99"/>
    <w:rsid w:val="00924219"/>
    <w:rPr>
      <w:sz w:val="24"/>
      <w:szCs w:val="24"/>
    </w:rPr>
  </w:style>
  <w:style w:type="paragraph" w:customStyle="1" w:styleId="Pa8">
    <w:name w:val="Pa8"/>
    <w:basedOn w:val="Normal"/>
    <w:next w:val="Normal"/>
    <w:uiPriority w:val="99"/>
    <w:rsid w:val="005B1523"/>
    <w:pPr>
      <w:autoSpaceDE w:val="0"/>
      <w:autoSpaceDN w:val="0"/>
      <w:adjustRightInd w:val="0"/>
      <w:spacing w:line="191" w:lineRule="atLeast"/>
    </w:pPr>
    <w:rPr>
      <w:rFonts w:ascii="Verdana" w:hAnsi="Verdana"/>
    </w:rPr>
  </w:style>
  <w:style w:type="table" w:styleId="TableGrid">
    <w:name w:val="Table Grid"/>
    <w:basedOn w:val="TableNormal"/>
    <w:rsid w:val="00015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BodyText"/>
    <w:uiPriority w:val="99"/>
    <w:unhideWhenUsed/>
    <w:rsid w:val="00D7477C"/>
    <w:pPr>
      <w:tabs>
        <w:tab w:val="num" w:pos="1191"/>
      </w:tabs>
      <w:spacing w:after="165" w:line="280" w:lineRule="atLeast"/>
      <w:ind w:left="1191" w:hanging="454"/>
    </w:pPr>
    <w:rPr>
      <w:rFonts w:ascii="Humnst777 Lt BT" w:hAnsi="Humnst777 Lt BT" w:cs="Calibri"/>
      <w:sz w:val="22"/>
      <w:szCs w:val="16"/>
    </w:rPr>
  </w:style>
  <w:style w:type="paragraph" w:styleId="BodyText">
    <w:name w:val="Body Text"/>
    <w:basedOn w:val="Normal"/>
    <w:link w:val="BodyTextChar"/>
    <w:rsid w:val="00D7477C"/>
    <w:pPr>
      <w:spacing w:after="120"/>
    </w:pPr>
  </w:style>
  <w:style w:type="character" w:customStyle="1" w:styleId="BodyTextChar">
    <w:name w:val="Body Text Char"/>
    <w:basedOn w:val="DefaultParagraphFont"/>
    <w:link w:val="BodyText"/>
    <w:rsid w:val="00D7477C"/>
    <w:rPr>
      <w:sz w:val="24"/>
      <w:szCs w:val="24"/>
    </w:rPr>
  </w:style>
  <w:style w:type="paragraph" w:styleId="BodyText3">
    <w:name w:val="Body Text 3"/>
    <w:basedOn w:val="Normal"/>
    <w:link w:val="BodyText3Char"/>
    <w:rsid w:val="00F20CA3"/>
    <w:pPr>
      <w:spacing w:after="120"/>
    </w:pPr>
    <w:rPr>
      <w:sz w:val="16"/>
      <w:szCs w:val="16"/>
    </w:rPr>
  </w:style>
  <w:style w:type="character" w:customStyle="1" w:styleId="BodyText3Char">
    <w:name w:val="Body Text 3 Char"/>
    <w:basedOn w:val="DefaultParagraphFont"/>
    <w:link w:val="BodyText3"/>
    <w:rsid w:val="00F20CA3"/>
    <w:rPr>
      <w:sz w:val="16"/>
      <w:szCs w:val="16"/>
    </w:rPr>
  </w:style>
  <w:style w:type="paragraph" w:customStyle="1" w:styleId="AnnexBodyText">
    <w:name w:val="Annex Body Text"/>
    <w:basedOn w:val="BodyText"/>
    <w:uiPriority w:val="99"/>
    <w:rsid w:val="00F20CA3"/>
    <w:pPr>
      <w:numPr>
        <w:ilvl w:val="1"/>
        <w:numId w:val="6"/>
      </w:numPr>
      <w:tabs>
        <w:tab w:val="num" w:pos="360"/>
        <w:tab w:val="num" w:pos="1134"/>
      </w:tabs>
      <w:spacing w:after="165" w:line="280" w:lineRule="atLeast"/>
    </w:pPr>
    <w:rPr>
      <w:rFonts w:ascii="Humnst777 Lt BT" w:hAnsi="Humnst777 Lt BT"/>
      <w:sz w:val="22"/>
    </w:rPr>
  </w:style>
  <w:style w:type="paragraph" w:customStyle="1" w:styleId="AnnexHeading">
    <w:name w:val="Annex Heading"/>
    <w:basedOn w:val="Normal"/>
    <w:next w:val="AnnexBodyText"/>
    <w:uiPriority w:val="99"/>
    <w:rsid w:val="00F20CA3"/>
    <w:pPr>
      <w:spacing w:line="720" w:lineRule="exact"/>
    </w:pPr>
    <w:rPr>
      <w:rFonts w:ascii="Humnst777 Cn BT" w:hAnsi="Humnst777 Cn BT"/>
      <w:b/>
      <w:color w:val="C40012"/>
      <w:spacing w:val="20"/>
      <w:sz w:val="60"/>
    </w:rPr>
  </w:style>
  <w:style w:type="paragraph" w:customStyle="1" w:styleId="AnnexBodyText2">
    <w:name w:val="Annex Body Text 2"/>
    <w:basedOn w:val="AnnexBodyText"/>
    <w:uiPriority w:val="99"/>
    <w:rsid w:val="00F20CA3"/>
    <w:pPr>
      <w:numPr>
        <w:ilvl w:val="2"/>
      </w:numPr>
      <w:tabs>
        <w:tab w:val="num" w:pos="360"/>
        <w:tab w:val="num" w:pos="1134"/>
        <w:tab w:val="num" w:pos="2155"/>
      </w:tabs>
      <w:ind w:left="2155" w:hanging="1021"/>
    </w:pPr>
  </w:style>
  <w:style w:type="paragraph" w:customStyle="1" w:styleId="AnnexNumber">
    <w:name w:val="Annex Number"/>
    <w:basedOn w:val="Normal"/>
    <w:next w:val="Normal"/>
    <w:uiPriority w:val="99"/>
    <w:rsid w:val="00F20CA3"/>
    <w:pPr>
      <w:snapToGrid w:val="0"/>
      <w:spacing w:line="2000" w:lineRule="exact"/>
    </w:pPr>
    <w:rPr>
      <w:rFonts w:ascii="Humnst777 BlkCn BT" w:hAnsi="Humnst777 BlkCn BT"/>
      <w:color w:val="F3D0CC"/>
      <w:position w:val="-24"/>
      <w:sz w:val="220"/>
    </w:rPr>
  </w:style>
  <w:style w:type="paragraph" w:styleId="BalloonText">
    <w:name w:val="Balloon Text"/>
    <w:basedOn w:val="Normal"/>
    <w:link w:val="BalloonTextChar"/>
    <w:rsid w:val="00B178AE"/>
    <w:rPr>
      <w:rFonts w:ascii="Tahoma" w:hAnsi="Tahoma" w:cs="Tahoma"/>
      <w:sz w:val="16"/>
      <w:szCs w:val="16"/>
    </w:rPr>
  </w:style>
  <w:style w:type="character" w:customStyle="1" w:styleId="BalloonTextChar">
    <w:name w:val="Balloon Text Char"/>
    <w:basedOn w:val="DefaultParagraphFont"/>
    <w:link w:val="BalloonText"/>
    <w:rsid w:val="00B17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Normal"/>
    <w:uiPriority w:val="99"/>
    <w:rsid w:val="00536727"/>
    <w:pPr>
      <w:keepNext/>
      <w:keepLines/>
      <w:spacing w:before="200" w:after="200" w:line="276" w:lineRule="auto"/>
      <w:outlineLvl w:val="1"/>
    </w:pPr>
    <w:rPr>
      <w:rFonts w:ascii="Helvetica" w:eastAsia="Arial Unicode MS" w:hAnsi="Helvetica"/>
      <w:b/>
      <w:color w:val="4F81BD"/>
      <w:sz w:val="26"/>
      <w:u w:color="4F81BD"/>
    </w:rPr>
  </w:style>
  <w:style w:type="paragraph" w:styleId="FootnoteText">
    <w:name w:val="footnote text"/>
    <w:basedOn w:val="Normal"/>
    <w:link w:val="FootnoteTextChar"/>
    <w:uiPriority w:val="99"/>
    <w:rsid w:val="00536727"/>
    <w:pPr>
      <w:widowControl w:val="0"/>
      <w:suppressAutoHyphens/>
      <w:autoSpaceDE w:val="0"/>
      <w:autoSpaceDN w:val="0"/>
      <w:adjustRightInd w:val="0"/>
      <w:spacing w:line="288" w:lineRule="auto"/>
      <w:textAlignment w:val="center"/>
    </w:pPr>
    <w:rPr>
      <w:rFonts w:ascii="Verdana" w:hAnsi="Verdana"/>
      <w:color w:val="000000"/>
      <w:sz w:val="20"/>
      <w:szCs w:val="20"/>
      <w:lang w:val="x-none" w:eastAsia="x-none"/>
    </w:rPr>
  </w:style>
  <w:style w:type="character" w:customStyle="1" w:styleId="FootnoteTextChar">
    <w:name w:val="Footnote Text Char"/>
    <w:basedOn w:val="DefaultParagraphFont"/>
    <w:link w:val="FootnoteText"/>
    <w:uiPriority w:val="99"/>
    <w:rsid w:val="00536727"/>
    <w:rPr>
      <w:rFonts w:ascii="Verdana" w:hAnsi="Verdana"/>
      <w:color w:val="000000"/>
      <w:lang w:val="x-none" w:eastAsia="x-none"/>
    </w:rPr>
  </w:style>
  <w:style w:type="character" w:styleId="FootnoteReference">
    <w:name w:val="footnote reference"/>
    <w:uiPriority w:val="99"/>
    <w:rsid w:val="00536727"/>
    <w:rPr>
      <w:vertAlign w:val="superscript"/>
    </w:rPr>
  </w:style>
  <w:style w:type="paragraph" w:customStyle="1" w:styleId="Pa0">
    <w:name w:val="Pa0"/>
    <w:basedOn w:val="Normal"/>
    <w:next w:val="Normal"/>
    <w:uiPriority w:val="99"/>
    <w:rsid w:val="00536727"/>
    <w:pPr>
      <w:autoSpaceDE w:val="0"/>
      <w:autoSpaceDN w:val="0"/>
      <w:adjustRightInd w:val="0"/>
      <w:spacing w:line="191" w:lineRule="atLeast"/>
    </w:pPr>
    <w:rPr>
      <w:rFonts w:ascii="Verdana" w:hAnsi="Verdana"/>
    </w:rPr>
  </w:style>
  <w:style w:type="paragraph" w:customStyle="1" w:styleId="Pa6">
    <w:name w:val="Pa6"/>
    <w:basedOn w:val="Normal"/>
    <w:next w:val="Normal"/>
    <w:uiPriority w:val="99"/>
    <w:rsid w:val="00536727"/>
    <w:pPr>
      <w:autoSpaceDE w:val="0"/>
      <w:autoSpaceDN w:val="0"/>
      <w:adjustRightInd w:val="0"/>
      <w:spacing w:line="191" w:lineRule="atLeast"/>
    </w:pPr>
    <w:rPr>
      <w:rFonts w:ascii="Verdana" w:hAnsi="Verdana"/>
    </w:rPr>
  </w:style>
  <w:style w:type="paragraph" w:styleId="ListParagraph">
    <w:name w:val="List Paragraph"/>
    <w:basedOn w:val="Normal"/>
    <w:uiPriority w:val="99"/>
    <w:qFormat/>
    <w:rsid w:val="00AA389B"/>
    <w:pPr>
      <w:ind w:left="720"/>
      <w:contextualSpacing/>
    </w:pPr>
  </w:style>
  <w:style w:type="paragraph" w:styleId="Header">
    <w:name w:val="header"/>
    <w:basedOn w:val="Normal"/>
    <w:link w:val="HeaderChar"/>
    <w:rsid w:val="00924219"/>
    <w:pPr>
      <w:tabs>
        <w:tab w:val="center" w:pos="4513"/>
        <w:tab w:val="right" w:pos="9026"/>
      </w:tabs>
    </w:pPr>
  </w:style>
  <w:style w:type="character" w:customStyle="1" w:styleId="HeaderChar">
    <w:name w:val="Header Char"/>
    <w:basedOn w:val="DefaultParagraphFont"/>
    <w:link w:val="Header"/>
    <w:rsid w:val="00924219"/>
    <w:rPr>
      <w:sz w:val="24"/>
      <w:szCs w:val="24"/>
    </w:rPr>
  </w:style>
  <w:style w:type="paragraph" w:styleId="Footer">
    <w:name w:val="footer"/>
    <w:basedOn w:val="Normal"/>
    <w:link w:val="FooterChar"/>
    <w:uiPriority w:val="99"/>
    <w:rsid w:val="00924219"/>
    <w:pPr>
      <w:tabs>
        <w:tab w:val="center" w:pos="4513"/>
        <w:tab w:val="right" w:pos="9026"/>
      </w:tabs>
    </w:pPr>
  </w:style>
  <w:style w:type="character" w:customStyle="1" w:styleId="FooterChar">
    <w:name w:val="Footer Char"/>
    <w:basedOn w:val="DefaultParagraphFont"/>
    <w:link w:val="Footer"/>
    <w:uiPriority w:val="99"/>
    <w:rsid w:val="00924219"/>
    <w:rPr>
      <w:sz w:val="24"/>
      <w:szCs w:val="24"/>
    </w:rPr>
  </w:style>
  <w:style w:type="paragraph" w:customStyle="1" w:styleId="Pa8">
    <w:name w:val="Pa8"/>
    <w:basedOn w:val="Normal"/>
    <w:next w:val="Normal"/>
    <w:uiPriority w:val="99"/>
    <w:rsid w:val="005B1523"/>
    <w:pPr>
      <w:autoSpaceDE w:val="0"/>
      <w:autoSpaceDN w:val="0"/>
      <w:adjustRightInd w:val="0"/>
      <w:spacing w:line="191" w:lineRule="atLeast"/>
    </w:pPr>
    <w:rPr>
      <w:rFonts w:ascii="Verdana" w:hAnsi="Verdana"/>
    </w:rPr>
  </w:style>
  <w:style w:type="table" w:styleId="TableGrid">
    <w:name w:val="Table Grid"/>
    <w:basedOn w:val="TableNormal"/>
    <w:rsid w:val="00015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BodyText"/>
    <w:uiPriority w:val="99"/>
    <w:unhideWhenUsed/>
    <w:rsid w:val="00D7477C"/>
    <w:pPr>
      <w:tabs>
        <w:tab w:val="num" w:pos="1191"/>
      </w:tabs>
      <w:spacing w:after="165" w:line="280" w:lineRule="atLeast"/>
      <w:ind w:left="1191" w:hanging="454"/>
    </w:pPr>
    <w:rPr>
      <w:rFonts w:ascii="Humnst777 Lt BT" w:hAnsi="Humnst777 Lt BT" w:cs="Calibri"/>
      <w:sz w:val="22"/>
      <w:szCs w:val="16"/>
    </w:rPr>
  </w:style>
  <w:style w:type="paragraph" w:styleId="BodyText">
    <w:name w:val="Body Text"/>
    <w:basedOn w:val="Normal"/>
    <w:link w:val="BodyTextChar"/>
    <w:rsid w:val="00D7477C"/>
    <w:pPr>
      <w:spacing w:after="120"/>
    </w:pPr>
  </w:style>
  <w:style w:type="character" w:customStyle="1" w:styleId="BodyTextChar">
    <w:name w:val="Body Text Char"/>
    <w:basedOn w:val="DefaultParagraphFont"/>
    <w:link w:val="BodyText"/>
    <w:rsid w:val="00D7477C"/>
    <w:rPr>
      <w:sz w:val="24"/>
      <w:szCs w:val="24"/>
    </w:rPr>
  </w:style>
  <w:style w:type="paragraph" w:styleId="BodyText3">
    <w:name w:val="Body Text 3"/>
    <w:basedOn w:val="Normal"/>
    <w:link w:val="BodyText3Char"/>
    <w:rsid w:val="00F20CA3"/>
    <w:pPr>
      <w:spacing w:after="120"/>
    </w:pPr>
    <w:rPr>
      <w:sz w:val="16"/>
      <w:szCs w:val="16"/>
    </w:rPr>
  </w:style>
  <w:style w:type="character" w:customStyle="1" w:styleId="BodyText3Char">
    <w:name w:val="Body Text 3 Char"/>
    <w:basedOn w:val="DefaultParagraphFont"/>
    <w:link w:val="BodyText3"/>
    <w:rsid w:val="00F20CA3"/>
    <w:rPr>
      <w:sz w:val="16"/>
      <w:szCs w:val="16"/>
    </w:rPr>
  </w:style>
  <w:style w:type="paragraph" w:customStyle="1" w:styleId="AnnexBodyText">
    <w:name w:val="Annex Body Text"/>
    <w:basedOn w:val="BodyText"/>
    <w:uiPriority w:val="99"/>
    <w:rsid w:val="00F20CA3"/>
    <w:pPr>
      <w:numPr>
        <w:ilvl w:val="1"/>
        <w:numId w:val="6"/>
      </w:numPr>
      <w:tabs>
        <w:tab w:val="num" w:pos="360"/>
        <w:tab w:val="num" w:pos="1134"/>
      </w:tabs>
      <w:spacing w:after="165" w:line="280" w:lineRule="atLeast"/>
    </w:pPr>
    <w:rPr>
      <w:rFonts w:ascii="Humnst777 Lt BT" w:hAnsi="Humnst777 Lt BT"/>
      <w:sz w:val="22"/>
    </w:rPr>
  </w:style>
  <w:style w:type="paragraph" w:customStyle="1" w:styleId="AnnexHeading">
    <w:name w:val="Annex Heading"/>
    <w:basedOn w:val="Normal"/>
    <w:next w:val="AnnexBodyText"/>
    <w:uiPriority w:val="99"/>
    <w:rsid w:val="00F20CA3"/>
    <w:pPr>
      <w:spacing w:line="720" w:lineRule="exact"/>
    </w:pPr>
    <w:rPr>
      <w:rFonts w:ascii="Humnst777 Cn BT" w:hAnsi="Humnst777 Cn BT"/>
      <w:b/>
      <w:color w:val="C40012"/>
      <w:spacing w:val="20"/>
      <w:sz w:val="60"/>
    </w:rPr>
  </w:style>
  <w:style w:type="paragraph" w:customStyle="1" w:styleId="AnnexBodyText2">
    <w:name w:val="Annex Body Text 2"/>
    <w:basedOn w:val="AnnexBodyText"/>
    <w:uiPriority w:val="99"/>
    <w:rsid w:val="00F20CA3"/>
    <w:pPr>
      <w:numPr>
        <w:ilvl w:val="2"/>
      </w:numPr>
      <w:tabs>
        <w:tab w:val="num" w:pos="360"/>
        <w:tab w:val="num" w:pos="1134"/>
        <w:tab w:val="num" w:pos="2155"/>
      </w:tabs>
      <w:ind w:left="2155" w:hanging="1021"/>
    </w:pPr>
  </w:style>
  <w:style w:type="paragraph" w:customStyle="1" w:styleId="AnnexNumber">
    <w:name w:val="Annex Number"/>
    <w:basedOn w:val="Normal"/>
    <w:next w:val="Normal"/>
    <w:uiPriority w:val="99"/>
    <w:rsid w:val="00F20CA3"/>
    <w:pPr>
      <w:snapToGrid w:val="0"/>
      <w:spacing w:line="2000" w:lineRule="exact"/>
    </w:pPr>
    <w:rPr>
      <w:rFonts w:ascii="Humnst777 BlkCn BT" w:hAnsi="Humnst777 BlkCn BT"/>
      <w:color w:val="F3D0CC"/>
      <w:position w:val="-24"/>
      <w:sz w:val="220"/>
    </w:rPr>
  </w:style>
  <w:style w:type="paragraph" w:styleId="BalloonText">
    <w:name w:val="Balloon Text"/>
    <w:basedOn w:val="Normal"/>
    <w:link w:val="BalloonTextChar"/>
    <w:rsid w:val="00B178AE"/>
    <w:rPr>
      <w:rFonts w:ascii="Tahoma" w:hAnsi="Tahoma" w:cs="Tahoma"/>
      <w:sz w:val="16"/>
      <w:szCs w:val="16"/>
    </w:rPr>
  </w:style>
  <w:style w:type="character" w:customStyle="1" w:styleId="BalloonTextChar">
    <w:name w:val="Balloon Text Char"/>
    <w:basedOn w:val="DefaultParagraphFont"/>
    <w:link w:val="BalloonText"/>
    <w:rsid w:val="00B17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27024">
      <w:bodyDiv w:val="1"/>
      <w:marLeft w:val="0"/>
      <w:marRight w:val="0"/>
      <w:marTop w:val="0"/>
      <w:marBottom w:val="0"/>
      <w:divBdr>
        <w:top w:val="none" w:sz="0" w:space="0" w:color="auto"/>
        <w:left w:val="none" w:sz="0" w:space="0" w:color="auto"/>
        <w:bottom w:val="none" w:sz="0" w:space="0" w:color="auto"/>
        <w:right w:val="none" w:sz="0" w:space="0" w:color="auto"/>
      </w:divBdr>
    </w:div>
    <w:div w:id="949508850">
      <w:bodyDiv w:val="1"/>
      <w:marLeft w:val="0"/>
      <w:marRight w:val="0"/>
      <w:marTop w:val="0"/>
      <w:marBottom w:val="0"/>
      <w:divBdr>
        <w:top w:val="none" w:sz="0" w:space="0" w:color="auto"/>
        <w:left w:val="none" w:sz="0" w:space="0" w:color="auto"/>
        <w:bottom w:val="none" w:sz="0" w:space="0" w:color="auto"/>
        <w:right w:val="none" w:sz="0" w:space="0" w:color="auto"/>
      </w:divBdr>
    </w:div>
    <w:div w:id="1266379930">
      <w:bodyDiv w:val="1"/>
      <w:marLeft w:val="0"/>
      <w:marRight w:val="0"/>
      <w:marTop w:val="0"/>
      <w:marBottom w:val="0"/>
      <w:divBdr>
        <w:top w:val="none" w:sz="0" w:space="0" w:color="auto"/>
        <w:left w:val="none" w:sz="0" w:space="0" w:color="auto"/>
        <w:bottom w:val="none" w:sz="0" w:space="0" w:color="auto"/>
        <w:right w:val="none" w:sz="0" w:space="0" w:color="auto"/>
      </w:divBdr>
    </w:div>
    <w:div w:id="137581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9AD44-9F43-452E-8C4F-78622F3C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3626</Words>
  <Characters>19661</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London Borough of Croydon</Company>
  <LinksUpToDate>false</LinksUpToDate>
  <CharactersWithSpaces>23241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Maddocks, Simon</dc:creator>
  <cp:lastModifiedBy>Miriam Wearing</cp:lastModifiedBy>
  <cp:revision>2</cp:revision>
  <dcterms:created xsi:type="dcterms:W3CDTF">2018-07-05T13:53:00Z</dcterms:created>
  <dcterms:modified xsi:type="dcterms:W3CDTF">2018-07-05T13:53:00Z</dcterms:modified>
</cp:coreProperties>
</file>